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3.png" ContentType="image/png"/>
  <Override PartName="/word/media/rId36.png" ContentType="image/png"/>
  <Override PartName="/word/media/rId39.png" ContentType="image/png"/>
  <Override PartName="/word/media/rId42.png" ContentType="image/png"/>
  <Override PartName="/word/media/rId30.png" ContentType="image/png"/>
  <Override PartName="/word/media/rId26.png" ContentType="image/png"/>
  <Override PartName="/word/media/rId2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emerging</w:t>
      </w:r>
      <w:r>
        <w:t xml:space="preserve"> </w:t>
      </w:r>
      <w:r>
        <w:t xml:space="preserve">infectious</w:t>
      </w:r>
      <w:r>
        <w:t xml:space="preserve"> </w:t>
      </w:r>
      <w:r>
        <w:t xml:space="preserve">disease</w:t>
      </w:r>
    </w:p>
    <w:p>
      <w:pPr>
        <w:pStyle w:val="Date"/>
      </w:pPr>
      <w:r>
        <w:t xml:space="preserve">30</w:t>
      </w:r>
      <w:r>
        <w:t xml:space="preserve"> </w:t>
      </w:r>
      <w:r>
        <w:t xml:space="preserve">Nov</w:t>
      </w:r>
      <w:r>
        <w:t xml:space="preserve"> </w:t>
      </w:r>
      <w:r>
        <w:t xml:space="preserve">2023</w:t>
      </w:r>
    </w:p>
    <w:bookmarkStart w:id="23" w:name="emerging-and-re-emerging-disease"/>
    <w:p>
      <w:pPr>
        <w:pStyle w:val="Heading2"/>
      </w:pPr>
      <w:r>
        <w:t xml:space="preserve">emerging and re-emerging disease</w:t>
      </w:r>
    </w:p>
    <w:p>
      <w:pPr>
        <w:pStyle w:val="FirstParagraph"/>
      </w:pPr>
      <w:r>
        <w:drawing>
          <wp:inline>
            <wp:extent cx="5334000" cy="4579462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pix/zoon_emerg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5794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basically, anything we’re worried about</w:t>
      </w:r>
    </w:p>
    <w:p>
      <w:pPr>
        <w:numPr>
          <w:ilvl w:val="0"/>
          <w:numId w:val="1001"/>
        </w:numPr>
        <w:pStyle w:val="Compact"/>
      </w:pPr>
      <w:r>
        <w:t xml:space="preserve">encounter filter: changing patterns of reservoir host/vector distribution, human contact, …</w:t>
      </w:r>
    </w:p>
    <w:p>
      <w:pPr>
        <w:numPr>
          <w:ilvl w:val="0"/>
          <w:numId w:val="1001"/>
        </w:numPr>
        <w:pStyle w:val="Compact"/>
      </w:pPr>
      <w:r>
        <w:t xml:space="preserve">compatibility filter: changes via mutation, recombination, selection for resistance, …</w:t>
      </w:r>
    </w:p>
    <w:p>
      <w:pPr>
        <w:pStyle w:val="FirstParagraph"/>
      </w:pPr>
      <w:r>
        <w:t xml:space="preserve">Do we need to understand</w:t>
      </w:r>
      <w:r>
        <w:t xml:space="preserve"> </w:t>
      </w:r>
      <w:r>
        <w:rPr>
          <w:iCs/>
          <w:i/>
        </w:rPr>
        <w:t xml:space="preserve">everything</w:t>
      </w:r>
      <w:r>
        <w:t xml:space="preserve">?</w:t>
      </w:r>
    </w:p>
    <w:p>
      <w:pPr>
        <w:numPr>
          <w:ilvl w:val="0"/>
          <w:numId w:val="1002"/>
        </w:numPr>
        <w:pStyle w:val="Compact"/>
      </w:pPr>
      <w:r>
        <w:t xml:space="preserve">reservoir ecology</w:t>
      </w:r>
    </w:p>
    <w:p>
      <w:pPr>
        <w:numPr>
          <w:ilvl w:val="0"/>
          <w:numId w:val="1002"/>
        </w:numPr>
        <w:pStyle w:val="Compact"/>
      </w:pPr>
      <w:r>
        <w:t xml:space="preserve">pathogen biology</w:t>
      </w:r>
    </w:p>
    <w:p>
      <w:pPr>
        <w:numPr>
          <w:ilvl w:val="0"/>
          <w:numId w:val="1002"/>
        </w:numPr>
        <w:pStyle w:val="Compact"/>
      </w:pPr>
      <w:r>
        <w:t xml:space="preserve">human-reservoir interactions</w:t>
      </w:r>
    </w:p>
    <w:p>
      <w:pPr>
        <w:pStyle w:val="FirstParagraph"/>
      </w:pPr>
      <w:r>
        <w:t xml:space="preserve">How do we understand? How do we predict?</w:t>
      </w:r>
    </w:p>
    <w:bookmarkEnd w:id="23"/>
    <w:bookmarkStart w:id="24" w:name="batrachochytrium-dendrobatidis"/>
    <w:p>
      <w:pPr>
        <w:pStyle w:val="Heading2"/>
      </w:pPr>
      <w:r>
        <w:rPr>
          <w:iCs/>
          <w:i/>
        </w:rPr>
        <w:t xml:space="preserve">Batrachochytrium dendrobatidis</w:t>
      </w:r>
    </w:p>
    <w:p>
      <w:pPr>
        <w:numPr>
          <w:ilvl w:val="0"/>
          <w:numId w:val="1003"/>
        </w:numPr>
        <w:pStyle w:val="Compact"/>
      </w:pPr>
      <w:r>
        <w:t xml:space="preserve">fungal pathogen</w:t>
      </w:r>
    </w:p>
    <w:p>
      <w:pPr>
        <w:numPr>
          <w:ilvl w:val="1"/>
          <w:numId w:val="1004"/>
        </w:numPr>
        <w:pStyle w:val="Compact"/>
      </w:pPr>
      <w:r>
        <w:t xml:space="preserve">most other chytrids are saprophytes, plant pathogens</w:t>
      </w:r>
    </w:p>
    <w:p>
      <w:pPr>
        <w:numPr>
          <w:ilvl w:val="1"/>
          <w:numId w:val="1004"/>
        </w:numPr>
        <w:pStyle w:val="Compact"/>
      </w:pPr>
      <w:r>
        <w:rPr>
          <w:iCs/>
          <w:i/>
        </w:rPr>
        <w:t xml:space="preserve">B. salamandrivorans</w:t>
      </w:r>
      <w:r>
        <w:t xml:space="preserve">: salamander pathogen (more restricted)</w:t>
      </w:r>
    </w:p>
    <w:p>
      <w:pPr>
        <w:numPr>
          <w:ilvl w:val="0"/>
          <w:numId w:val="1003"/>
        </w:numPr>
        <w:pStyle w:val="Compact"/>
      </w:pPr>
      <w:r>
        <w:t xml:space="preserve">first discoved in poison dart frogs</w:t>
      </w:r>
    </w:p>
    <w:p>
      <w:pPr>
        <w:numPr>
          <w:ilvl w:val="0"/>
          <w:numId w:val="1003"/>
        </w:numPr>
        <w:pStyle w:val="Compact"/>
      </w:pPr>
      <w:r>
        <w:t xml:space="preserve">caused die-offs in E Australia, Central America, Colorado, California …</w:t>
      </w:r>
    </w:p>
    <w:p>
      <w:pPr>
        <w:numPr>
          <w:ilvl w:val="0"/>
          <w:numId w:val="1003"/>
        </w:numPr>
        <w:pStyle w:val="Compact"/>
      </w:pPr>
      <w:r>
        <w:t xml:space="preserve">association with high altitude?</w:t>
      </w:r>
    </w:p>
    <w:p>
      <w:pPr>
        <w:pStyle w:val="FirstParagraph"/>
      </w:pPr>
      <w:r>
        <w:t xml:space="preserve">Very confusing …</w:t>
      </w:r>
    </w:p>
    <w:p>
      <w:pPr>
        <w:numPr>
          <w:ilvl w:val="0"/>
          <w:numId w:val="1005"/>
        </w:numPr>
      </w:pPr>
      <w:r>
        <w:t xml:space="preserve">declines occurred in pristine areas (probably not anthropogenic?)</w:t>
      </w:r>
    </w:p>
    <w:p>
      <w:pPr>
        <w:numPr>
          <w:ilvl w:val="0"/>
          <w:numId w:val="1005"/>
        </w:numPr>
      </w:pPr>
      <w:r>
        <w:t xml:space="preserve">some species decline in the absence of Bd</w:t>
      </w:r>
    </w:p>
    <w:p>
      <w:pPr>
        <w:numPr>
          <w:ilvl w:val="0"/>
          <w:numId w:val="1005"/>
        </w:numPr>
      </w:pPr>
      <w:r>
        <w:t xml:space="preserve">some species stable in the presence of Bd</w:t>
      </w:r>
    </w:p>
    <w:p>
      <w:pPr>
        <w:numPr>
          <w:ilvl w:val="0"/>
          <w:numId w:val="1005"/>
        </w:numPr>
      </w:pPr>
      <w:r>
        <w:rPr>
          <w:bCs/>
          <w:b/>
        </w:rPr>
        <w:t xml:space="preserve">tipping point hypothesis</w:t>
      </w:r>
      <w:r>
        <w:t xml:space="preserve">: in populations all the time, but something happened to increase virulence/reduce tolerance or resistance (</w:t>
      </w:r>
      <m:oMath>
        <m:r>
          <m:rPr>
            <m:sty m:val="p"/>
          </m:rPr>
          <m:t>≈</m:t>
        </m:r>
      </m:oMath>
      <w:r>
        <w:t xml:space="preserve"> </w:t>
      </w:r>
      <w:r>
        <w:t xml:space="preserve">compatibility filter)</w:t>
      </w:r>
    </w:p>
    <w:p>
      <w:pPr>
        <w:numPr>
          <w:ilvl w:val="1"/>
          <w:numId w:val="1006"/>
        </w:numPr>
        <w:pStyle w:val="Compact"/>
      </w:pPr>
      <w:r>
        <w:t xml:space="preserve">climate change/El Niño ?</w:t>
      </w:r>
    </w:p>
    <w:p>
      <w:pPr>
        <w:numPr>
          <w:ilvl w:val="1"/>
          <w:numId w:val="1006"/>
        </w:numPr>
        <w:pStyle w:val="Compact"/>
      </w:pPr>
      <w:r>
        <w:t xml:space="preserve">ultraviolet radiation?</w:t>
      </w:r>
    </w:p>
    <w:p>
      <w:pPr>
        <w:numPr>
          <w:ilvl w:val="1"/>
          <w:numId w:val="1006"/>
        </w:numPr>
        <w:pStyle w:val="Compact"/>
      </w:pPr>
      <w:r>
        <w:t xml:space="preserve">pesticides?</w:t>
      </w:r>
    </w:p>
    <w:p>
      <w:pPr>
        <w:numPr>
          <w:ilvl w:val="1"/>
          <w:numId w:val="1006"/>
        </w:numPr>
        <w:pStyle w:val="Compact"/>
      </w:pPr>
      <w:r>
        <w:t xml:space="preserve">combination (species × temperature × U/V × pesticide × …)?</w:t>
      </w:r>
      <w:r>
        <w:t xml:space="preserve"> </w:t>
      </w:r>
      <w:r>
        <w:t xml:space="preserve">(Pounds et al., 2006; Rohr et al., 2008; Rohr &amp; Raffel, 2010)</w:t>
      </w:r>
    </w:p>
    <w:p>
      <w:pPr>
        <w:numPr>
          <w:ilvl w:val="0"/>
          <w:numId w:val="1005"/>
        </w:numPr>
      </w:pPr>
      <w:r>
        <w:rPr>
          <w:bCs/>
          <w:b/>
        </w:rPr>
        <w:t xml:space="preserve">novel pathogen hypothesis</w:t>
      </w:r>
      <w:r>
        <w:t xml:space="preserve">: mutation/speciation + dispersal</w:t>
      </w:r>
    </w:p>
    <w:p>
      <w:pPr>
        <w:numPr>
          <w:ilvl w:val="1"/>
          <w:numId w:val="1007"/>
        </w:numPr>
        <w:pStyle w:val="Compact"/>
      </w:pPr>
      <w:r>
        <w:t xml:space="preserve">detection in historical specimens: CA/bullfrog, Brazil …</w:t>
      </w:r>
    </w:p>
    <w:p>
      <w:pPr>
        <w:numPr>
          <w:ilvl w:val="1"/>
          <w:numId w:val="1007"/>
        </w:numPr>
        <w:pStyle w:val="Compact"/>
      </w:pPr>
      <w:r>
        <w:t xml:space="preserve">genomics (challenging!)</w:t>
      </w:r>
    </w:p>
    <w:p>
      <w:pPr>
        <w:numPr>
          <w:ilvl w:val="1"/>
          <w:numId w:val="1007"/>
        </w:numPr>
        <w:pStyle w:val="Compact"/>
      </w:pPr>
      <w:r>
        <w:t xml:space="preserve">Asian sampling</w:t>
      </w:r>
    </w:p>
    <w:p>
      <w:pPr>
        <w:pStyle w:val="FirstParagraph"/>
      </w:pPr>
      <w:r>
        <w:t xml:space="preserve">Fisher &amp; Garner (2020)</w:t>
      </w:r>
    </w:p>
    <w:bookmarkEnd w:id="24"/>
    <w:bookmarkStart w:id="25" w:name="effects-of-climate-change"/>
    <w:p>
      <w:pPr>
        <w:pStyle w:val="Heading2"/>
      </w:pPr>
      <w:r>
        <w:t xml:space="preserve">effects of climate change</w:t>
      </w:r>
    </w:p>
    <w:p>
      <w:pPr>
        <w:numPr>
          <w:ilvl w:val="0"/>
          <w:numId w:val="1008"/>
        </w:numPr>
        <w:pStyle w:val="Compact"/>
      </w:pPr>
      <w:r>
        <w:t xml:space="preserve">warming</w:t>
      </w:r>
    </w:p>
    <w:p>
      <w:pPr>
        <w:numPr>
          <w:ilvl w:val="1"/>
          <w:numId w:val="1009"/>
        </w:numPr>
        <w:pStyle w:val="Compact"/>
      </w:pPr>
      <w:r>
        <w:t xml:space="preserve">‘</w:t>
      </w:r>
      <w:r>
        <w:t xml:space="preserve">good</w:t>
      </w:r>
      <w:r>
        <w:t xml:space="preserve">’</w:t>
      </w:r>
      <w:r>
        <w:t xml:space="preserve"> </w:t>
      </w:r>
      <w:r>
        <w:t xml:space="preserve">or</w:t>
      </w:r>
      <w:r>
        <w:t xml:space="preserve"> </w:t>
      </w:r>
      <w:r>
        <w:t xml:space="preserve">‘</w:t>
      </w:r>
      <w:r>
        <w:t xml:space="preserve">bad</w:t>
      </w:r>
      <w:r>
        <w:t xml:space="preserve">’</w:t>
      </w:r>
      <w:r>
        <w:t xml:space="preserve"> </w:t>
      </w:r>
      <w:r>
        <w:t xml:space="preserve">for pathogens?</w:t>
      </w:r>
    </w:p>
    <w:p>
      <w:pPr>
        <w:numPr>
          <w:ilvl w:val="1"/>
          <w:numId w:val="1009"/>
        </w:numPr>
        <w:pStyle w:val="Compact"/>
      </w:pPr>
      <w:r>
        <w:t xml:space="preserve">vector biology</w:t>
      </w:r>
    </w:p>
    <w:p>
      <w:pPr>
        <w:numPr>
          <w:ilvl w:val="2"/>
          <w:numId w:val="1010"/>
        </w:numPr>
        <w:pStyle w:val="Compact"/>
      </w:pPr>
      <w:r>
        <w:t xml:space="preserve">extended range</w:t>
      </w:r>
    </w:p>
    <w:p>
      <w:pPr>
        <w:numPr>
          <w:ilvl w:val="2"/>
          <w:numId w:val="1010"/>
        </w:numPr>
        <w:pStyle w:val="Compact"/>
      </w:pPr>
      <w:r>
        <w:t xml:space="preserve">higher activity?</w:t>
      </w:r>
    </w:p>
    <w:p>
      <w:pPr>
        <w:numPr>
          <w:ilvl w:val="2"/>
          <w:numId w:val="1010"/>
        </w:numPr>
        <w:pStyle w:val="Compact"/>
      </w:pPr>
      <w:r>
        <w:t xml:space="preserve">e.g.</w:t>
      </w:r>
      <w:r>
        <w:t xml:space="preserve"> </w:t>
      </w:r>
      <w:r>
        <w:t xml:space="preserve">Mordecai et al. (2020)</w:t>
      </w:r>
      <w:r>
        <w:t xml:space="preserve">: shift from</w:t>
      </w:r>
      <w:r>
        <w:t xml:space="preserve"> </w:t>
      </w:r>
      <w:r>
        <w:rPr>
          <w:iCs/>
          <w:i/>
        </w:rPr>
        <w:t xml:space="preserve">Anopheles gambiae</w:t>
      </w:r>
      <w:r>
        <w:t xml:space="preserve"> </w:t>
      </w:r>
      <w:r>
        <w:t xml:space="preserve">to</w:t>
      </w:r>
      <w:r>
        <w:t xml:space="preserve"> </w:t>
      </w:r>
      <w:r>
        <w:rPr>
          <w:iCs/>
          <w:i/>
        </w:rPr>
        <w:t xml:space="preserve">Aedes aegypti</w:t>
      </w:r>
      <w:r>
        <w:t xml:space="preserve">, malaria to arboviruses (dengue, chikungunya etc.)</w:t>
      </w:r>
    </w:p>
    <w:p>
      <w:pPr>
        <w:numPr>
          <w:ilvl w:val="0"/>
          <w:numId w:val="1008"/>
        </w:numPr>
        <w:pStyle w:val="Compact"/>
      </w:pPr>
      <w:r>
        <w:t xml:space="preserve">changes in seasonality, hydrological cycles</w:t>
      </w:r>
    </w:p>
    <w:p>
      <w:pPr>
        <w:numPr>
          <w:ilvl w:val="0"/>
          <w:numId w:val="1008"/>
        </w:numPr>
        <w:pStyle w:val="Compact"/>
      </w:pPr>
      <w:r>
        <w:t xml:space="preserve">local landscape change</w:t>
      </w:r>
    </w:p>
    <w:p>
      <w:pPr>
        <w:numPr>
          <w:ilvl w:val="1"/>
          <w:numId w:val="1011"/>
        </w:numPr>
        <w:pStyle w:val="Compact"/>
      </w:pPr>
      <w:r>
        <w:t xml:space="preserve">hydrology</w:t>
      </w:r>
    </w:p>
    <w:p>
      <w:pPr>
        <w:numPr>
          <w:ilvl w:val="1"/>
          <w:numId w:val="1011"/>
        </w:numPr>
        <w:pStyle w:val="Compact"/>
      </w:pPr>
      <w:r>
        <w:t xml:space="preserve">suburbanization and reforestation: Lyme disease</w:t>
      </w:r>
    </w:p>
    <w:p>
      <w:pPr>
        <w:numPr>
          <w:ilvl w:val="1"/>
          <w:numId w:val="1011"/>
        </w:numPr>
        <w:pStyle w:val="Compact"/>
      </w:pPr>
      <w:r>
        <w:t xml:space="preserve">deforestation</w:t>
      </w:r>
    </w:p>
    <w:p>
      <w:pPr>
        <w:numPr>
          <w:ilvl w:val="2"/>
          <w:numId w:val="1012"/>
        </w:numPr>
        <w:pStyle w:val="Compact"/>
      </w:pPr>
      <w:r>
        <w:t xml:space="preserve">MacDonald &amp; Mordecai (2019)</w:t>
      </w:r>
      <w:r>
        <w:t xml:space="preserve">: deforestation increases malaria, but malaria decreases deforestation</w:t>
      </w:r>
    </w:p>
    <w:p>
      <w:pPr>
        <w:numPr>
          <w:ilvl w:val="0"/>
          <w:numId w:val="1008"/>
        </w:numPr>
        <w:pStyle w:val="Compact"/>
      </w:pPr>
      <w:r>
        <w:t xml:space="preserve">changes in reservoir communities</w:t>
      </w:r>
    </w:p>
    <w:bookmarkEnd w:id="25"/>
    <w:bookmarkStart w:id="29" w:name="X6bc96f046da0e7089c4f9b921f758ebc3dabe90"/>
    <w:p>
      <w:pPr>
        <w:pStyle w:val="Heading2"/>
      </w:pPr>
      <w:r>
        <w:t xml:space="preserve">effects of biodiversity change: dilution effect</w:t>
      </w:r>
      <w:r>
        <w:t xml:space="preserve"> </w:t>
      </w:r>
      <w:r>
        <w:t xml:space="preserve">(Keesing &amp; Ostfeld, 2021)</w:t>
      </w:r>
    </w:p>
    <w:p>
      <w:pPr>
        <w:numPr>
          <w:ilvl w:val="0"/>
          <w:numId w:val="1013"/>
        </w:numPr>
        <w:pStyle w:val="Compact"/>
      </w:pPr>
      <w:r>
        <w:t xml:space="preserve">does increased biodiversity decrease disease?</w:t>
      </w:r>
    </w:p>
    <w:p>
      <w:pPr>
        <w:numPr>
          <w:ilvl w:val="0"/>
          <w:numId w:val="1013"/>
        </w:numPr>
        <w:pStyle w:val="Compact"/>
      </w:pPr>
      <w:r>
        <w:t xml:space="preserve">variation in reservoir competence</w:t>
      </w:r>
    </w:p>
    <w:p>
      <w:pPr>
        <w:numPr>
          <w:ilvl w:val="0"/>
          <w:numId w:val="1013"/>
        </w:numPr>
        <w:pStyle w:val="Compact"/>
      </w:pPr>
      <w:r>
        <w:t xml:space="preserve">high-quality hosts decrease with increasing biodiversity</w:t>
      </w:r>
    </w:p>
    <w:p>
      <w:pPr>
        <w:numPr>
          <w:ilvl w:val="1"/>
          <w:numId w:val="1014"/>
        </w:numPr>
        <w:pStyle w:val="Compact"/>
      </w:pPr>
      <w:r>
        <w:t xml:space="preserve">encounter reduction; host regulation; vector preferences</w:t>
      </w:r>
    </w:p>
    <w:p>
      <w:pPr>
        <w:pStyle w:val="FirstParagraph"/>
      </w:pPr>
      <w:r>
        <w:t xml:space="preserve">Kain &amp; Bolker (2019)</w:t>
      </w:r>
    </w:p>
    <w:p>
      <w:pPr>
        <w:pStyle w:val="BodyText"/>
      </w:pPr>
      <w:r>
        <w:t xml:space="preserve">Rohr et al. (2020)</w:t>
      </w:r>
    </w:p>
    <w:p>
      <w:pPr>
        <w:pStyle w:val="BodyText"/>
      </w:pPr>
      <w:r>
        <w:drawing>
          <wp:inline>
            <wp:extent cx="5334000" cy="5471698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pix/rohr_dilute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716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15"/>
        </w:numPr>
        <w:pStyle w:val="Compact"/>
      </w:pPr>
      <w:r>
        <w:t xml:space="preserve">Carlson et al. (2022)</w:t>
      </w:r>
      <w:r>
        <w:t xml:space="preserve">:</w:t>
      </w:r>
      <w:r>
        <w:t xml:space="preserve"> </w:t>
      </w:r>
      <w:r>
        <w:rPr>
          <w:iCs/>
          <w:i/>
        </w:rPr>
        <w:t xml:space="preserve">higher</w:t>
      </w:r>
      <w:r>
        <w:t xml:space="preserve"> </w:t>
      </w:r>
      <w:r>
        <w:t xml:space="preserve">rodent diversity and climate anomalies drive plague spillover</w:t>
      </w:r>
    </w:p>
    <w:bookmarkEnd w:id="29"/>
    <w:bookmarkStart w:id="45" w:name="surveillance-and-prediction"/>
    <w:p>
      <w:pPr>
        <w:pStyle w:val="Heading2"/>
      </w:pPr>
      <w:r>
        <w:t xml:space="preserve">surveillance and prediction</w:t>
      </w:r>
    </w:p>
    <w:p>
      <w:pPr>
        <w:numPr>
          <w:ilvl w:val="0"/>
          <w:numId w:val="1016"/>
        </w:numPr>
        <w:pStyle w:val="Compact"/>
      </w:pPr>
      <w:r>
        <w:t xml:space="preserve">which viruses will emerge, where, why?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Pulliam &amp; Dushoff (2009)</w:t>
      </w:r>
      <w:r>
        <w:t xml:space="preserve">: predict zoonotic transmission of livestock viruses</w:t>
      </w:r>
    </w:p>
    <w:p>
      <w:pPr>
        <w:pStyle w:val="BodyText"/>
      </w:pPr>
      <w:r>
        <w:drawing>
          <wp:inline>
            <wp:extent cx="5334000" cy="2922175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pix/pulliam_pred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21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Walker et al. (2018)</w:t>
      </w:r>
      <w:r>
        <w:t xml:space="preserve">: predict human transmission ability of zoonotic viruses</w:t>
      </w:r>
    </w:p>
    <w:p>
      <w:pPr>
        <w:pStyle w:val="BodyText"/>
      </w:pPr>
      <w:r>
        <w:drawing>
          <wp:inline>
            <wp:extent cx="5334000" cy="3614158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pix/han_predict1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141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41863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pix/han_predict2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186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Han et al. (2020)</w:t>
      </w:r>
      <w:r>
        <w:t xml:space="preserve">: model rodent life history</w:t>
      </w:r>
    </w:p>
    <w:p>
      <w:pPr>
        <w:pStyle w:val="BodyText"/>
      </w:pPr>
      <w:r>
        <w:drawing>
          <wp:inline>
            <wp:extent cx="5334000" cy="4801155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pix/han_predict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011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256436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pix/han_predict5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643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Evans et al. (2023)</w:t>
      </w:r>
      <w:r>
        <w:t xml:space="preserve">: 2017-2020 sample: 12% of 693 individuals sampled in Myanmar were seropositive for sarbecovirus, more likely if they were loggers/hunters or had been exposed to bats …</w:t>
      </w:r>
    </w:p>
    <w:bookmarkEnd w:id="45"/>
    <w:bookmarkStart w:id="75" w:name="references"/>
    <w:p>
      <w:pPr>
        <w:pStyle w:val="Heading2"/>
      </w:pPr>
      <w:r>
        <w:t xml:space="preserve">References</w:t>
      </w:r>
    </w:p>
    <w:bookmarkStart w:id="74" w:name="refs"/>
    <w:bookmarkStart w:id="47" w:name="ref-carlsonPlague2022"/>
    <w:p>
      <w:pPr>
        <w:pStyle w:val="Bibliography"/>
      </w:pPr>
      <w:r>
        <w:t xml:space="preserve">Carlson, C. J., Bevins, S. N., &amp; Schmid, B. V. (2022). Plague risk in the western</w:t>
      </w:r>
      <w:r>
        <w:t xml:space="preserve"> </w:t>
      </w:r>
      <w:r>
        <w:t xml:space="preserve">United</w:t>
      </w:r>
      <w:r>
        <w:t xml:space="preserve"> </w:t>
      </w:r>
      <w:r>
        <w:t xml:space="preserve">States</w:t>
      </w:r>
      <w:r>
        <w:t xml:space="preserve"> </w:t>
      </w:r>
      <w:r>
        <w:t xml:space="preserve">over seven decades of environmental change.</w:t>
      </w:r>
      <w:r>
        <w:t xml:space="preserve"> </w:t>
      </w:r>
      <w:r>
        <w:rPr>
          <w:iCs/>
          <w:i/>
        </w:rPr>
        <w:t xml:space="preserve">Global Change Biology</w:t>
      </w:r>
      <w:r>
        <w:t xml:space="preserve">,</w:t>
      </w:r>
      <w:r>
        <w:t xml:space="preserve"> </w:t>
      </w:r>
      <w:r>
        <w:rPr>
          <w:iCs/>
          <w:i/>
        </w:rPr>
        <w:t xml:space="preserve">28</w:t>
      </w:r>
      <w:r>
        <w:t xml:space="preserve">(3), 753–769.</w:t>
      </w:r>
      <w:r>
        <w:t xml:space="preserve"> </w:t>
      </w:r>
      <w:hyperlink r:id="rId46">
        <w:r>
          <w:rPr>
            <w:rStyle w:val="Hyperlink"/>
          </w:rPr>
          <w:t xml:space="preserve">https://doi.org/10.1111/gcb.15966</w:t>
        </w:r>
      </w:hyperlink>
    </w:p>
    <w:bookmarkEnd w:id="47"/>
    <w:bookmarkStart w:id="49" w:name="ref-evansExposure2023"/>
    <w:p>
      <w:pPr>
        <w:pStyle w:val="Bibliography"/>
      </w:pPr>
      <w:r>
        <w:t xml:space="preserve">Evans, T. S., Tan, C. W., Aung, O., Phyu, S., Lin, H., Coffey, L. L., Toe, A. T., Aung, P., Aung, T. H., Aung, N. T., Weiss, C. M., Thant, K. Z., Htun, Z. T., Murray, S., Wang, L.-F., Johnson, C. K., &amp; Thu, H. M. (2023). Exposure to diverse sarbecoviruses indicates frequent zoonotic spillover in human communities interacting with wildlife.</w:t>
      </w:r>
      <w:r>
        <w:t xml:space="preserve"> </w:t>
      </w:r>
      <w:r>
        <w:rPr>
          <w:iCs/>
          <w:i/>
        </w:rPr>
        <w:t xml:space="preserve">International Journal of Infectious Diseases</w:t>
      </w:r>
      <w:r>
        <w:t xml:space="preserve">,</w:t>
      </w:r>
      <w:r>
        <w:t xml:space="preserve"> </w:t>
      </w:r>
      <w:r>
        <w:rPr>
          <w:iCs/>
          <w:i/>
        </w:rPr>
        <w:t xml:space="preserve">0</w:t>
      </w:r>
      <w:r>
        <w:t xml:space="preserve">(0).</w:t>
      </w:r>
      <w:r>
        <w:t xml:space="preserve"> </w:t>
      </w:r>
      <w:hyperlink r:id="rId48">
        <w:r>
          <w:rPr>
            <w:rStyle w:val="Hyperlink"/>
          </w:rPr>
          <w:t xml:space="preserve">https://doi.org/10.1016/j.ijid.2023.02.015</w:t>
        </w:r>
      </w:hyperlink>
    </w:p>
    <w:bookmarkEnd w:id="49"/>
    <w:bookmarkStart w:id="51" w:name="ref-fisher_chytrid_2020"/>
    <w:p>
      <w:pPr>
        <w:pStyle w:val="Bibliography"/>
      </w:pPr>
      <w:r>
        <w:t xml:space="preserve">Fisher, M. C., &amp; Garner, T. W. J. (2020). Chytrid fungi and global amphibian declines.</w:t>
      </w:r>
      <w:r>
        <w:t xml:space="preserve"> </w:t>
      </w:r>
      <w:r>
        <w:rPr>
          <w:iCs/>
          <w:i/>
        </w:rPr>
        <w:t xml:space="preserve">Nature Reviews Microbiology</w:t>
      </w:r>
      <w:r>
        <w:t xml:space="preserve">,</w:t>
      </w:r>
      <w:r>
        <w:t xml:space="preserve"> </w:t>
      </w:r>
      <w:r>
        <w:rPr>
          <w:iCs/>
          <w:i/>
        </w:rPr>
        <w:t xml:space="preserve">18</w:t>
      </w:r>
      <w:r>
        <w:t xml:space="preserve">(6), 332–343.</w:t>
      </w:r>
      <w:r>
        <w:t xml:space="preserve"> </w:t>
      </w:r>
      <w:hyperlink r:id="rId50">
        <w:r>
          <w:rPr>
            <w:rStyle w:val="Hyperlink"/>
          </w:rPr>
          <w:t xml:space="preserve">https://doi.org/10.1038/s41579-020-0335-x</w:t>
        </w:r>
      </w:hyperlink>
    </w:p>
    <w:bookmarkEnd w:id="51"/>
    <w:bookmarkStart w:id="53" w:name="ref-han_integrating_2020"/>
    <w:p>
      <w:pPr>
        <w:pStyle w:val="Bibliography"/>
      </w:pPr>
      <w:r>
        <w:t xml:space="preserve">Han, B. A., O’Regan, S. M., Paul Schmidt, J., &amp; Drake, J. M. (2020). Integrating data mining and transmission theory in the ecology of infectious diseases.</w:t>
      </w:r>
      <w:r>
        <w:t xml:space="preserve"> </w:t>
      </w:r>
      <w:r>
        <w:rPr>
          <w:iCs/>
          <w:i/>
        </w:rPr>
        <w:t xml:space="preserve">Ecology Letters</w:t>
      </w:r>
      <w:r>
        <w:t xml:space="preserve">,</w:t>
      </w:r>
      <w:r>
        <w:t xml:space="preserve"> </w:t>
      </w:r>
      <w:r>
        <w:rPr>
          <w:iCs/>
          <w:i/>
        </w:rPr>
        <w:t xml:space="preserve">23</w:t>
      </w:r>
      <w:r>
        <w:t xml:space="preserve">(8), 1178–1188.</w:t>
      </w:r>
      <w:r>
        <w:t xml:space="preserve"> </w:t>
      </w:r>
      <w:hyperlink r:id="rId52">
        <w:r>
          <w:rPr>
            <w:rStyle w:val="Hyperlink"/>
          </w:rPr>
          <w:t xml:space="preserve">https://doi.org/10.1111/ele.13520</w:t>
        </w:r>
      </w:hyperlink>
    </w:p>
    <w:bookmarkEnd w:id="53"/>
    <w:bookmarkStart w:id="55" w:name="ref-kain_predicting_2019"/>
    <w:p>
      <w:pPr>
        <w:pStyle w:val="Bibliography"/>
      </w:pPr>
      <w:r>
        <w:t xml:space="preserve">Kain, M. P., &amp; Bolker, B. M. (2019). Predicting</w:t>
      </w:r>
      <w:r>
        <w:t xml:space="preserve"> </w:t>
      </w:r>
      <w:r>
        <w:t xml:space="preserve">West</w:t>
      </w:r>
      <w:r>
        <w:t xml:space="preserve"> </w:t>
      </w:r>
      <w:r>
        <w:t xml:space="preserve">Nile</w:t>
      </w:r>
      <w:r>
        <w:t xml:space="preserve"> </w:t>
      </w:r>
      <w:r>
        <w:t xml:space="preserve">virus transmission in</w:t>
      </w:r>
      <w:r>
        <w:t xml:space="preserve"> </w:t>
      </w:r>
      <w:r>
        <w:t xml:space="preserve">North</w:t>
      </w:r>
      <w:r>
        <w:t xml:space="preserve"> </w:t>
      </w:r>
      <w:r>
        <w:t xml:space="preserve">American</w:t>
      </w:r>
      <w:r>
        <w:t xml:space="preserve"> </w:t>
      </w:r>
      <w:r>
        <w:t xml:space="preserve">bird communities using phylogenetic mixed effects models and</w:t>
      </w:r>
      <w:r>
        <w:t xml:space="preserve"> </w:t>
      </w:r>
      <w:r>
        <w:t xml:space="preserve">eBird</w:t>
      </w:r>
      <w:r>
        <w:t xml:space="preserve"> </w:t>
      </w:r>
      <w:r>
        <w:t xml:space="preserve">citizen science data.</w:t>
      </w:r>
      <w:r>
        <w:t xml:space="preserve"> </w:t>
      </w:r>
      <w:r>
        <w:rPr>
          <w:iCs/>
          <w:i/>
        </w:rPr>
        <w:t xml:space="preserve">Parasites &amp; Vectors</w:t>
      </w:r>
      <w:r>
        <w:t xml:space="preserve">,</w:t>
      </w:r>
      <w:r>
        <w:t xml:space="preserve"> </w:t>
      </w:r>
      <w:r>
        <w:rPr>
          <w:iCs/>
          <w:i/>
        </w:rPr>
        <w:t xml:space="preserve">12</w:t>
      </w:r>
      <w:r>
        <w:t xml:space="preserve">(1), 395.</w:t>
      </w:r>
      <w:r>
        <w:t xml:space="preserve"> </w:t>
      </w:r>
      <w:hyperlink r:id="rId54">
        <w:r>
          <w:rPr>
            <w:rStyle w:val="Hyperlink"/>
          </w:rPr>
          <w:t xml:space="preserve">https://doi.org/10.1186/s13071-019-3656-8</w:t>
        </w:r>
      </w:hyperlink>
    </w:p>
    <w:bookmarkEnd w:id="55"/>
    <w:bookmarkStart w:id="57" w:name="ref-keesing_dilution_2021"/>
    <w:p>
      <w:pPr>
        <w:pStyle w:val="Bibliography"/>
      </w:pPr>
      <w:r>
        <w:t xml:space="preserve">Keesing, F., &amp; Ostfeld, R. S. (2021). Dilution effects in disease ecology.</w:t>
      </w:r>
      <w:r>
        <w:t xml:space="preserve"> </w:t>
      </w:r>
      <w:r>
        <w:rPr>
          <w:iCs/>
          <w:i/>
        </w:rPr>
        <w:t xml:space="preserve">Ecology Letters</w:t>
      </w:r>
      <w:r>
        <w:t xml:space="preserve">,</w:t>
      </w:r>
      <w:r>
        <w:t xml:space="preserve"> </w:t>
      </w:r>
      <w:r>
        <w:rPr>
          <w:iCs/>
          <w:i/>
        </w:rPr>
        <w:t xml:space="preserve">24</w:t>
      </w:r>
      <w:r>
        <w:t xml:space="preserve">(11), 2490–2505.</w:t>
      </w:r>
      <w:r>
        <w:t xml:space="preserve"> </w:t>
      </w:r>
      <w:hyperlink r:id="rId56">
        <w:r>
          <w:rPr>
            <w:rStyle w:val="Hyperlink"/>
          </w:rPr>
          <w:t xml:space="preserve">https://doi.org/10.1111/ele.13875</w:t>
        </w:r>
      </w:hyperlink>
    </w:p>
    <w:bookmarkEnd w:id="57"/>
    <w:bookmarkStart w:id="59" w:name="ref-macdonaldAmazon2019a"/>
    <w:p>
      <w:pPr>
        <w:pStyle w:val="Bibliography"/>
      </w:pPr>
      <w:r>
        <w:t xml:space="preserve">MacDonald, A. J., &amp; Mordecai, E. A. (2019). Amazon deforestation drives malaria transmission, and malaria burden reduces forest clearing.</w:t>
      </w:r>
      <w:r>
        <w:t xml:space="preserve"> </w:t>
      </w:r>
      <w:r>
        <w:rPr>
          <w:iCs/>
          <w:i/>
        </w:rPr>
        <w:t xml:space="preserve">Proceedings of the National Academy of Sciences</w:t>
      </w:r>
      <w:r>
        <w:t xml:space="preserve">,</w:t>
      </w:r>
      <w:r>
        <w:t xml:space="preserve"> </w:t>
      </w:r>
      <w:r>
        <w:rPr>
          <w:iCs/>
          <w:i/>
        </w:rPr>
        <w:t xml:space="preserve">116</w:t>
      </w:r>
      <w:r>
        <w:t xml:space="preserve">(44), 22212–22218.</w:t>
      </w:r>
      <w:r>
        <w:t xml:space="preserve"> </w:t>
      </w:r>
      <w:hyperlink r:id="rId58">
        <w:r>
          <w:rPr>
            <w:rStyle w:val="Hyperlink"/>
          </w:rPr>
          <w:t xml:space="preserve">https://doi.org/10.1073/pnas.1905315116</w:t>
        </w:r>
      </w:hyperlink>
    </w:p>
    <w:bookmarkEnd w:id="59"/>
    <w:bookmarkStart w:id="61" w:name="ref-mordecaiClimate2020"/>
    <w:p>
      <w:pPr>
        <w:pStyle w:val="Bibliography"/>
      </w:pPr>
      <w:r>
        <w:t xml:space="preserve">Mordecai, E. A., Ryan, S. J., Caldwell, J. M., Shah, M. M., &amp; LaBeaud, A. D. (2020). Climate change could shift disease burden from malaria to arboviruses in</w:t>
      </w:r>
      <w:r>
        <w:t xml:space="preserve"> </w:t>
      </w:r>
      <w:r>
        <w:t xml:space="preserve">Africa</w:t>
      </w:r>
      <w:r>
        <w:t xml:space="preserve">.</w:t>
      </w:r>
      <w:r>
        <w:t xml:space="preserve"> </w:t>
      </w:r>
      <w:r>
        <w:rPr>
          <w:iCs/>
          <w:i/>
        </w:rPr>
        <w:t xml:space="preserve">The Lancet Planetary Health</w:t>
      </w:r>
      <w:r>
        <w:t xml:space="preserve">,</w:t>
      </w:r>
      <w:r>
        <w:t xml:space="preserve"> </w:t>
      </w:r>
      <w:r>
        <w:rPr>
          <w:iCs/>
          <w:i/>
        </w:rPr>
        <w:t xml:space="preserve">4</w:t>
      </w:r>
      <w:r>
        <w:t xml:space="preserve">(9), e416–e423.</w:t>
      </w:r>
      <w:r>
        <w:t xml:space="preserve"> </w:t>
      </w:r>
      <w:hyperlink r:id="rId60">
        <w:r>
          <w:rPr>
            <w:rStyle w:val="Hyperlink"/>
          </w:rPr>
          <w:t xml:space="preserve">https://doi.org/10.1016/S2542-5196(20)30178-9</w:t>
        </w:r>
      </w:hyperlink>
    </w:p>
    <w:bookmarkEnd w:id="61"/>
    <w:bookmarkStart w:id="63" w:name="ref-pounds_widespread_2006"/>
    <w:p>
      <w:pPr>
        <w:pStyle w:val="Bibliography"/>
      </w:pPr>
      <w:r>
        <w:t xml:space="preserve">Pounds, A. J., Bustamante, M. R., Coloma, L. A., Consuegra, J. A., Fogden, M. P. L., Foster, P. N., La Marca, E., Masters, K. L., Merino-Viteri, A., Puschendorf, R., Ron, S. R., Sánchez-Azofeifa, G. A., Still, C. J., &amp; Young, B. E. (2006). Widespread amphibian extinctions from epidemic disease driven by global warming.</w:t>
      </w:r>
      <w:r>
        <w:t xml:space="preserve"> </w:t>
      </w:r>
      <w:r>
        <w:rPr>
          <w:iCs/>
          <w:i/>
        </w:rPr>
        <w:t xml:space="preserve">Nature</w:t>
      </w:r>
      <w:r>
        <w:t xml:space="preserve">,</w:t>
      </w:r>
      <w:r>
        <w:t xml:space="preserve"> </w:t>
      </w:r>
      <w:r>
        <w:rPr>
          <w:iCs/>
          <w:i/>
        </w:rPr>
        <w:t xml:space="preserve">439</w:t>
      </w:r>
      <w:r>
        <w:t xml:space="preserve">(7073), 161–167.</w:t>
      </w:r>
      <w:r>
        <w:t xml:space="preserve"> </w:t>
      </w:r>
      <w:hyperlink r:id="rId62">
        <w:r>
          <w:rPr>
            <w:rStyle w:val="Hyperlink"/>
          </w:rPr>
          <w:t xml:space="preserve">https://doi.org/10.1038/nature04246</w:t>
        </w:r>
      </w:hyperlink>
    </w:p>
    <w:bookmarkEnd w:id="63"/>
    <w:bookmarkStart w:id="65" w:name="ref-pulliam_ability_2009"/>
    <w:p>
      <w:pPr>
        <w:pStyle w:val="Bibliography"/>
      </w:pPr>
      <w:r>
        <w:t xml:space="preserve">Pulliam, J. R. C., &amp; Dushoff, J. (2009). Ability to</w:t>
      </w:r>
      <w:r>
        <w:t xml:space="preserve"> </w:t>
      </w:r>
      <w:r>
        <w:t xml:space="preserve">Replicate</w:t>
      </w:r>
      <w:r>
        <w:t xml:space="preserve"> </w:t>
      </w:r>
      <w:r>
        <w:t xml:space="preserve">in the</w:t>
      </w:r>
      <w:r>
        <w:t xml:space="preserve"> </w:t>
      </w:r>
      <w:r>
        <w:t xml:space="preserve">Cytoplasm</w:t>
      </w:r>
      <w:r>
        <w:t xml:space="preserve"> </w:t>
      </w:r>
      <w:r>
        <w:t xml:space="preserve">Predicts</w:t>
      </w:r>
      <w:r>
        <w:t xml:space="preserve"> </w:t>
      </w:r>
      <w:r>
        <w:t xml:space="preserve">Zoonotic</w:t>
      </w:r>
      <w:r>
        <w:t xml:space="preserve"> </w:t>
      </w:r>
      <w:r>
        <w:t xml:space="preserve">Transmission</w:t>
      </w:r>
      <w:r>
        <w:t xml:space="preserve"> </w:t>
      </w:r>
      <w:r>
        <w:t xml:space="preserve">of</w:t>
      </w:r>
      <w:r>
        <w:t xml:space="preserve"> </w:t>
      </w:r>
      <w:r>
        <w:t xml:space="preserve">Livestock</w:t>
      </w:r>
      <w:r>
        <w:t xml:space="preserve"> </w:t>
      </w:r>
      <w:r>
        <w:t xml:space="preserve">Viruses</w:t>
      </w:r>
      <w:r>
        <w:t xml:space="preserve">.</w:t>
      </w:r>
      <w:r>
        <w:t xml:space="preserve"> </w:t>
      </w:r>
      <w:r>
        <w:rPr>
          <w:iCs/>
          <w:i/>
        </w:rPr>
        <w:t xml:space="preserve">The Journal of Infectious Diseases</w:t>
      </w:r>
      <w:r>
        <w:t xml:space="preserve">,</w:t>
      </w:r>
      <w:r>
        <w:t xml:space="preserve"> </w:t>
      </w:r>
      <w:r>
        <w:rPr>
          <w:iCs/>
          <w:i/>
        </w:rPr>
        <w:t xml:space="preserve">199</w:t>
      </w:r>
      <w:r>
        <w:t xml:space="preserve">(4), 565–568.</w:t>
      </w:r>
      <w:r>
        <w:t xml:space="preserve"> </w:t>
      </w:r>
      <w:hyperlink r:id="rId64">
        <w:r>
          <w:rPr>
            <w:rStyle w:val="Hyperlink"/>
          </w:rPr>
          <w:t xml:space="preserve">https://doi.org/10.1086/596510</w:t>
        </w:r>
      </w:hyperlink>
    </w:p>
    <w:bookmarkEnd w:id="65"/>
    <w:bookmarkStart w:id="67" w:name="ref-rohr_towards_2020"/>
    <w:p>
      <w:pPr>
        <w:pStyle w:val="Bibliography"/>
      </w:pPr>
      <w:r>
        <w:t xml:space="preserve">Rohr, J. R., Civitello, D. J., Halliday, F. W., Hudson, P. J., Lafferty, K. D., Wood, C. L., &amp; Mordecai, E. A. (2020). Towards common ground in the biodiversity–disease debate.</w:t>
      </w:r>
      <w:r>
        <w:t xml:space="preserve"> </w:t>
      </w:r>
      <w:r>
        <w:rPr>
          <w:iCs/>
          <w:i/>
        </w:rPr>
        <w:t xml:space="preserve">Nature Ecology &amp; Evolution</w:t>
      </w:r>
      <w:r>
        <w:t xml:space="preserve">,</w:t>
      </w:r>
      <w:r>
        <w:t xml:space="preserve"> </w:t>
      </w:r>
      <w:r>
        <w:rPr>
          <w:iCs/>
          <w:i/>
        </w:rPr>
        <w:t xml:space="preserve">4</w:t>
      </w:r>
      <w:r>
        <w:t xml:space="preserve">(1), 24–33.</w:t>
      </w:r>
      <w:r>
        <w:t xml:space="preserve"> </w:t>
      </w:r>
      <w:hyperlink r:id="rId66">
        <w:r>
          <w:rPr>
            <w:rStyle w:val="Hyperlink"/>
          </w:rPr>
          <w:t xml:space="preserve">https://doi.org/10.1038/s41559-019-1060-6</w:t>
        </w:r>
      </w:hyperlink>
    </w:p>
    <w:bookmarkEnd w:id="67"/>
    <w:bookmarkStart w:id="69" w:name="ref-rohr_linking_2010"/>
    <w:p>
      <w:pPr>
        <w:pStyle w:val="Bibliography"/>
      </w:pPr>
      <w:r>
        <w:t xml:space="preserve">Rohr, J. R., &amp; Raffel, T. R. (2010). Linking global climate and temperature variability to widespread amphibian declines putatively caused by disease.</w:t>
      </w:r>
      <w:r>
        <w:t xml:space="preserve"> </w:t>
      </w:r>
      <w:r>
        <w:rPr>
          <w:iCs/>
          <w:i/>
        </w:rPr>
        <w:t xml:space="preserve">Proceedings of the National Academy of Sciences</w:t>
      </w:r>
      <w:r>
        <w:t xml:space="preserve">,</w:t>
      </w:r>
      <w:r>
        <w:t xml:space="preserve"> </w:t>
      </w:r>
      <w:r>
        <w:rPr>
          <w:iCs/>
          <w:i/>
        </w:rPr>
        <w:t xml:space="preserve">107</w:t>
      </w:r>
      <w:r>
        <w:t xml:space="preserve">(18), 8269–8274.</w:t>
      </w:r>
      <w:r>
        <w:t xml:space="preserve"> </w:t>
      </w:r>
      <w:hyperlink r:id="rId68">
        <w:r>
          <w:rPr>
            <w:rStyle w:val="Hyperlink"/>
          </w:rPr>
          <w:t xml:space="preserve">https://doi.org/10.1073/pnas.0912883107</w:t>
        </w:r>
      </w:hyperlink>
    </w:p>
    <w:bookmarkEnd w:id="69"/>
    <w:bookmarkStart w:id="71" w:name="ref-rohr_evaluating_2008"/>
    <w:p>
      <w:pPr>
        <w:pStyle w:val="Bibliography"/>
      </w:pPr>
      <w:r>
        <w:t xml:space="preserve">Rohr, J. R., Raffel, T. R., Romansic, J. M., McCallum, H., &amp; Hudson, P. J. (2008). Evaluating the links between climate, disease spread, and amphibian declines.</w:t>
      </w:r>
      <w:r>
        <w:t xml:space="preserve"> </w:t>
      </w:r>
      <w:r>
        <w:rPr>
          <w:iCs/>
          <w:i/>
        </w:rPr>
        <w:t xml:space="preserve">Proceedings of the National Academy of Sciences</w:t>
      </w:r>
      <w:r>
        <w:t xml:space="preserve">,</w:t>
      </w:r>
      <w:r>
        <w:t xml:space="preserve"> </w:t>
      </w:r>
      <w:r>
        <w:rPr>
          <w:iCs/>
          <w:i/>
        </w:rPr>
        <w:t xml:space="preserve">105</w:t>
      </w:r>
      <w:r>
        <w:t xml:space="preserve">(45), 17436–17441.</w:t>
      </w:r>
      <w:r>
        <w:t xml:space="preserve"> </w:t>
      </w:r>
      <w:hyperlink r:id="rId70">
        <w:r>
          <w:rPr>
            <w:rStyle w:val="Hyperlink"/>
          </w:rPr>
          <w:t xml:space="preserve">https://doi.org/10.1073/pnas.0806368105</w:t>
        </w:r>
      </w:hyperlink>
    </w:p>
    <w:bookmarkEnd w:id="71"/>
    <w:bookmarkStart w:id="73" w:name="ref-walker_transmissibility_2018"/>
    <w:p>
      <w:pPr>
        <w:pStyle w:val="Bibliography"/>
      </w:pPr>
      <w:r>
        <w:t xml:space="preserve">Walker, J. W., Han, B. A., Ott, I. M., &amp; Drake, J. M. (2018). Transmissibility of emerging viral zoonoses.</w:t>
      </w:r>
      <w:r>
        <w:t xml:space="preserve"> </w:t>
      </w:r>
      <w:r>
        <w:rPr>
          <w:iCs/>
          <w:i/>
        </w:rPr>
        <w:t xml:space="preserve">PLOS ONE</w:t>
      </w:r>
      <w:r>
        <w:t xml:space="preserve">,</w:t>
      </w:r>
      <w:r>
        <w:t xml:space="preserve"> </w:t>
      </w:r>
      <w:r>
        <w:rPr>
          <w:iCs/>
          <w:i/>
        </w:rPr>
        <w:t xml:space="preserve">13</w:t>
      </w:r>
      <w:r>
        <w:t xml:space="preserve">(11), e0206926.</w:t>
      </w:r>
      <w:r>
        <w:t xml:space="preserve"> </w:t>
      </w:r>
      <w:hyperlink r:id="rId72">
        <w:r>
          <w:rPr>
            <w:rStyle w:val="Hyperlink"/>
          </w:rPr>
          <w:t xml:space="preserve">https://doi.org/10.1371/journal.pone.0206926</w:t>
        </w:r>
      </w:hyperlink>
    </w:p>
    <w:bookmarkEnd w:id="73"/>
    <w:bookmarkEnd w:id="74"/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Last updated: 2023-11-30 12:19:33.558089</w:t>
      </w:r>
    </w:p>
    <w:bookmarkEnd w:id="7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jc w:val="center"/>
      <w:spacing w:after="0" w:before="300"/>
    </w:pPr>
    <w:rPr>
      <w:sz w:val="20"/>
      <w:szCs w:val="20"/>
      <w:b/>
      <w:color w:val="345A8A"/>
      &gt;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8f8f8"/>
    </w:pPr>
  </w:style>
  <w:style w:type="character" w:customStyle="1" w:styleId="KeywordTok">
    <w:name w:val="KeywordTok"/>
    <w:basedOn w:val="VerbatimChar"/>
    <w:rPr>
      <w:color w:val="204a87"/>
      <w:shd w:val="clear" w:fill="f8f8f8"/>
      <w:b/>
    </w:rPr>
  </w:style>
  <w:style w:type="character" w:customStyle="1" w:styleId="DataTypeTok">
    <w:name w:val="DataTypeTok"/>
    <w:basedOn w:val="VerbatimChar"/>
    <w:rPr>
      <w:color w:val="204a87"/>
      <w:shd w:val="clear" w:fill="f8f8f8"/>
    </w:rPr>
  </w:style>
  <w:style w:type="character" w:customStyle="1" w:styleId="DecValTok">
    <w:name w:val="DecValTok"/>
    <w:basedOn w:val="VerbatimChar"/>
    <w:rPr>
      <w:color w:val="0000cf"/>
      <w:shd w:val="clear" w:fill="f8f8f8"/>
    </w:rPr>
  </w:style>
  <w:style w:type="character" w:customStyle="1" w:styleId="BaseNTok">
    <w:name w:val="BaseNTok"/>
    <w:basedOn w:val="VerbatimChar"/>
    <w:rPr>
      <w:color w:val="0000cf"/>
      <w:shd w:val="clear" w:fill="f8f8f8"/>
    </w:rPr>
  </w:style>
  <w:style w:type="character" w:customStyle="1" w:styleId="FloatTok">
    <w:name w:val="FloatTok"/>
    <w:basedOn w:val="VerbatimChar"/>
    <w:rPr>
      <w:color w:val="0000cf"/>
      <w:shd w:val="clear" w:fill="f8f8f8"/>
    </w:rPr>
  </w:style>
  <w:style w:type="character" w:customStyle="1" w:styleId="ConstantTok">
    <w:name w:val="ConstantTok"/>
    <w:basedOn w:val="VerbatimChar"/>
    <w:rPr>
      <w:color w:val="8f5902"/>
      <w:shd w:val="clear" w:fill="f8f8f8"/>
    </w:rPr>
  </w:style>
  <w:style w:type="character" w:customStyle="1" w:styleId="CharTok">
    <w:name w:val="CharTok"/>
    <w:basedOn w:val="VerbatimChar"/>
    <w:rPr>
      <w:color w:val="4e9a06"/>
      <w:shd w:val="clear" w:fill="f8f8f8"/>
    </w:rPr>
  </w:style>
  <w:style w:type="character" w:customStyle="1" w:styleId="SpecialCharTok">
    <w:name w:val="SpecialCharTok"/>
    <w:basedOn w:val="VerbatimChar"/>
    <w:rPr>
      <w:color w:val="ce5c00"/>
      <w:shd w:val="clear" w:fill="f8f8f8"/>
      <w:b/>
    </w:rPr>
  </w:style>
  <w:style w:type="character" w:customStyle="1" w:styleId="StringTok">
    <w:name w:val="StringTok"/>
    <w:basedOn w:val="VerbatimChar"/>
    <w:rPr>
      <w:color w:val="4e9a06"/>
      <w:shd w:val="clear" w:fill="f8f8f8"/>
    </w:rPr>
  </w:style>
  <w:style w:type="character" w:customStyle="1" w:styleId="VerbatimStringTok">
    <w:name w:val="VerbatimStringTok"/>
    <w:basedOn w:val="VerbatimChar"/>
    <w:rPr>
      <w:color w:val="4e9a06"/>
      <w:shd w:val="clear" w:fill="f8f8f8"/>
    </w:rPr>
  </w:style>
  <w:style w:type="character" w:customStyle="1" w:styleId="SpecialStringTok">
    <w:name w:val="SpecialStringTok"/>
    <w:basedOn w:val="VerbatimChar"/>
    <w:rPr>
      <w:color w:val="4e9a06"/>
      <w:shd w:val="clear" w:fill="f8f8f8"/>
    </w:rPr>
  </w:style>
  <w:style w:type="character" w:customStyle="1" w:styleId="ImportTok">
    <w:name w:val="ImportTok"/>
    <w:basedOn w:val="VerbatimChar"/>
    <w:rPr>
      <w:shd w:val="clear" w:fill="f8f8f8"/>
    </w:rPr>
  </w:style>
  <w:style w:type="character" w:customStyle="1" w:styleId="CommentTok">
    <w:name w:val="CommentTok"/>
    <w:basedOn w:val="VerbatimChar"/>
    <w:rPr>
      <w:color w:val="8f5902"/>
      <w:shd w:val="clear" w:fill="f8f8f8"/>
      <w:i/>
    </w:rPr>
  </w:style>
  <w:style w:type="character" w:customStyle="1" w:styleId="DocumentationTok">
    <w:name w:val="DocumentationTok"/>
    <w:basedOn w:val="VerbatimChar"/>
    <w:rPr>
      <w:color w:val="8f5902"/>
      <w:shd w:val="clear" w:fill="f8f8f8"/>
      <w:b/>
      <w:i/>
    </w:rPr>
  </w:style>
  <w:style w:type="character" w:customStyle="1" w:styleId="AnnotationTok">
    <w:name w:val="AnnotationTok"/>
    <w:basedOn w:val="VerbatimChar"/>
    <w:rPr>
      <w:color w:val="8f5902"/>
      <w:shd w:val="clear" w:fill="f8f8f8"/>
      <w:b/>
      <w:i/>
    </w:rPr>
  </w:style>
  <w:style w:type="character" w:customStyle="1" w:styleId="CommentVarTok">
    <w:name w:val="CommentVarTok"/>
    <w:basedOn w:val="VerbatimChar"/>
    <w:rPr>
      <w:color w:val="8f5902"/>
      <w:shd w:val="clear" w:fill="f8f8f8"/>
      <w:b/>
      <w:i/>
    </w:rPr>
  </w:style>
  <w:style w:type="character" w:customStyle="1" w:styleId="OtherTok">
    <w:name w:val="OtherTok"/>
    <w:basedOn w:val="VerbatimChar"/>
    <w:rPr>
      <w:color w:val="8f5902"/>
      <w:shd w:val="clear" w:fill="f8f8f8"/>
    </w:rPr>
  </w:style>
  <w:style w:type="character" w:customStyle="1" w:styleId="FunctionTok">
    <w:name w:val="FunctionTok"/>
    <w:basedOn w:val="VerbatimChar"/>
    <w:rPr>
      <w:color w:val="204a87"/>
      <w:shd w:val="clear" w:fill="f8f8f8"/>
      <w:b/>
    </w:rPr>
  </w:style>
  <w:style w:type="character" w:customStyle="1" w:styleId="VariableTok">
    <w:name w:val="VariableTok"/>
    <w:basedOn w:val="VerbatimChar"/>
    <w:rPr>
      <w:color w:val="000000"/>
      <w:shd w:val="clear" w:fill="f8f8f8"/>
    </w:rPr>
  </w:style>
  <w:style w:type="character" w:customStyle="1" w:styleId="ControlFlowTok">
    <w:name w:val="ControlFlowTok"/>
    <w:basedOn w:val="VerbatimChar"/>
    <w:rPr>
      <w:color w:val="204a87"/>
      <w:shd w:val="clear" w:fill="f8f8f8"/>
      <w:b/>
    </w:rPr>
  </w:style>
  <w:style w:type="character" w:customStyle="1" w:styleId="OperatorTok">
    <w:name w:val="OperatorTok"/>
    <w:basedOn w:val="VerbatimChar"/>
    <w:rPr>
      <w:color w:val="ce5c00"/>
      <w:shd w:val="clear" w:fill="f8f8f8"/>
      <w:b/>
    </w:rPr>
  </w:style>
  <w:style w:type="character" w:customStyle="1" w:styleId="BuiltInTok">
    <w:name w:val="BuiltInTok"/>
    <w:basedOn w:val="VerbatimChar"/>
    <w:rPr>
      <w:shd w:val="clear" w:fill="f8f8f8"/>
    </w:rPr>
  </w:style>
  <w:style w:type="character" w:customStyle="1" w:styleId="ExtensionTok">
    <w:name w:val="ExtensionTok"/>
    <w:basedOn w:val="VerbatimChar"/>
    <w:rPr>
      <w:shd w:val="clear" w:fill="f8f8f8"/>
    </w:rPr>
  </w:style>
  <w:style w:type="character" w:customStyle="1" w:styleId="PreprocessorTok">
    <w:name w:val="PreprocessorTok"/>
    <w:basedOn w:val="VerbatimChar"/>
    <w:rPr>
      <w:color w:val="8f5902"/>
      <w:shd w:val="clear" w:fill="f8f8f8"/>
      <w:i/>
    </w:rPr>
  </w:style>
  <w:style w:type="character" w:customStyle="1" w:styleId="AttributeTok">
    <w:name w:val="AttributeTok"/>
    <w:basedOn w:val="VerbatimChar"/>
    <w:rPr>
      <w:color w:val="204a87"/>
      <w:shd w:val="clear" w:fill="f8f8f8"/>
    </w:rPr>
  </w:style>
  <w:style w:type="character" w:customStyle="1" w:styleId="RegionMarkerTok">
    <w:name w:val="RegionMarkerTok"/>
    <w:basedOn w:val="VerbatimChar"/>
    <w:rPr>
      <w:shd w:val="clear" w:fill="f8f8f8"/>
    </w:rPr>
  </w:style>
  <w:style w:type="character" w:customStyle="1" w:styleId="InformationTok">
    <w:name w:val="InformationTok"/>
    <w:basedOn w:val="VerbatimChar"/>
    <w:rPr>
      <w:color w:val="8f5902"/>
      <w:shd w:val="clear" w:fill="f8f8f8"/>
      <w:b/>
      <w:i/>
    </w:rPr>
  </w:style>
  <w:style w:type="character" w:customStyle="1" w:styleId="WarningTok">
    <w:name w:val="WarningTok"/>
    <w:basedOn w:val="VerbatimChar"/>
    <w:rPr>
      <w:color w:val="8f5902"/>
      <w:shd w:val="clear" w:fill="f8f8f8"/>
      <w:b/>
      <w:i/>
    </w:rPr>
  </w:style>
  <w:style w:type="character" w:customStyle="1" w:styleId="AlertTok">
    <w:name w:val="AlertTok"/>
    <w:basedOn w:val="VerbatimChar"/>
    <w:rPr>
      <w:color w:val="ef2929"/>
      <w:shd w:val="clear" w:fill="f8f8f8"/>
    </w:rPr>
  </w:style>
  <w:style w:type="character" w:customStyle="1" w:styleId="ErrorTok">
    <w:name w:val="ErrorTok"/>
    <w:basedOn w:val="VerbatimChar"/>
    <w:rPr>
      <w:color w:val="a40000"/>
      <w:shd w:val="clear" w:fill="f8f8f8"/>
      <w:b/>
    </w:rPr>
  </w:style>
  <w:style w:type="character" w:customStyle="1" w:styleId="NormalTok">
    <w:name w:val="NormalTok"/>
    <w:basedOn w:val="VerbatimChar"/>
    <w:rPr>
      <w:shd w:val="clear" w:fill="f8f8f8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30" Target="media/rId30.png" /><Relationship Type="http://schemas.openxmlformats.org/officeDocument/2006/relationships/image" Id="rId26" Target="media/rId26.png" /><Relationship Type="http://schemas.openxmlformats.org/officeDocument/2006/relationships/image" Id="rId20" Target="media/rId20.png" /><Relationship Type="http://schemas.openxmlformats.org/officeDocument/2006/relationships/hyperlink" Id="rId60" Target="https://doi.org/10.1016/S2542-5196(20)30178-9" TargetMode="External" /><Relationship Type="http://schemas.openxmlformats.org/officeDocument/2006/relationships/hyperlink" Id="rId48" Target="https://doi.org/10.1016/j.ijid.2023.02.015" TargetMode="External" /><Relationship Type="http://schemas.openxmlformats.org/officeDocument/2006/relationships/hyperlink" Id="rId62" Target="https://doi.org/10.1038/nature04246" TargetMode="External" /><Relationship Type="http://schemas.openxmlformats.org/officeDocument/2006/relationships/hyperlink" Id="rId66" Target="https://doi.org/10.1038/s41559-019-1060-6" TargetMode="External" /><Relationship Type="http://schemas.openxmlformats.org/officeDocument/2006/relationships/hyperlink" Id="rId50" Target="https://doi.org/10.1038/s41579-020-0335-x" TargetMode="External" /><Relationship Type="http://schemas.openxmlformats.org/officeDocument/2006/relationships/hyperlink" Id="rId70" Target="https://doi.org/10.1073/pnas.0806368105" TargetMode="External" /><Relationship Type="http://schemas.openxmlformats.org/officeDocument/2006/relationships/hyperlink" Id="rId68" Target="https://doi.org/10.1073/pnas.0912883107" TargetMode="External" /><Relationship Type="http://schemas.openxmlformats.org/officeDocument/2006/relationships/hyperlink" Id="rId58" Target="https://doi.org/10.1073/pnas.1905315116" TargetMode="External" /><Relationship Type="http://schemas.openxmlformats.org/officeDocument/2006/relationships/hyperlink" Id="rId64" Target="https://doi.org/10.1086/596510" TargetMode="External" /><Relationship Type="http://schemas.openxmlformats.org/officeDocument/2006/relationships/hyperlink" Id="rId52" Target="https://doi.org/10.1111/ele.13520" TargetMode="External" /><Relationship Type="http://schemas.openxmlformats.org/officeDocument/2006/relationships/hyperlink" Id="rId56" Target="https://doi.org/10.1111/ele.13875" TargetMode="External" /><Relationship Type="http://schemas.openxmlformats.org/officeDocument/2006/relationships/hyperlink" Id="rId46" Target="https://doi.org/10.1111/gcb.15966" TargetMode="External" /><Relationship Type="http://schemas.openxmlformats.org/officeDocument/2006/relationships/hyperlink" Id="rId54" Target="https://doi.org/10.1186/s13071-019-3656-8" TargetMode="External" /><Relationship Type="http://schemas.openxmlformats.org/officeDocument/2006/relationships/hyperlink" Id="rId72" Target="https://doi.org/10.1371/journal.pone.0206926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60" Target="https://doi.org/10.1016/S2542-5196(20)30178-9" TargetMode="External" /><Relationship Type="http://schemas.openxmlformats.org/officeDocument/2006/relationships/hyperlink" Id="rId48" Target="https://doi.org/10.1016/j.ijid.2023.02.015" TargetMode="External" /><Relationship Type="http://schemas.openxmlformats.org/officeDocument/2006/relationships/hyperlink" Id="rId62" Target="https://doi.org/10.1038/nature04246" TargetMode="External" /><Relationship Type="http://schemas.openxmlformats.org/officeDocument/2006/relationships/hyperlink" Id="rId66" Target="https://doi.org/10.1038/s41559-019-1060-6" TargetMode="External" /><Relationship Type="http://schemas.openxmlformats.org/officeDocument/2006/relationships/hyperlink" Id="rId50" Target="https://doi.org/10.1038/s41579-020-0335-x" TargetMode="External" /><Relationship Type="http://schemas.openxmlformats.org/officeDocument/2006/relationships/hyperlink" Id="rId70" Target="https://doi.org/10.1073/pnas.0806368105" TargetMode="External" /><Relationship Type="http://schemas.openxmlformats.org/officeDocument/2006/relationships/hyperlink" Id="rId68" Target="https://doi.org/10.1073/pnas.0912883107" TargetMode="External" /><Relationship Type="http://schemas.openxmlformats.org/officeDocument/2006/relationships/hyperlink" Id="rId58" Target="https://doi.org/10.1073/pnas.1905315116" TargetMode="External" /><Relationship Type="http://schemas.openxmlformats.org/officeDocument/2006/relationships/hyperlink" Id="rId64" Target="https://doi.org/10.1086/596510" TargetMode="External" /><Relationship Type="http://schemas.openxmlformats.org/officeDocument/2006/relationships/hyperlink" Id="rId52" Target="https://doi.org/10.1111/ele.13520" TargetMode="External" /><Relationship Type="http://schemas.openxmlformats.org/officeDocument/2006/relationships/hyperlink" Id="rId56" Target="https://doi.org/10.1111/ele.13875" TargetMode="External" /><Relationship Type="http://schemas.openxmlformats.org/officeDocument/2006/relationships/hyperlink" Id="rId46" Target="https://doi.org/10.1111/gcb.15966" TargetMode="External" /><Relationship Type="http://schemas.openxmlformats.org/officeDocument/2006/relationships/hyperlink" Id="rId54" Target="https://doi.org/10.1186/s13071-019-3656-8" TargetMode="External" /><Relationship Type="http://schemas.openxmlformats.org/officeDocument/2006/relationships/hyperlink" Id="rId72" Target="https://doi.org/10.1371/journal.pone.0206926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emerging infectious disease</dc:title>
  <dc:creator/>
  <cp:keywords/>
  <dcterms:created xsi:type="dcterms:W3CDTF">2023-11-30T17:19:33Z</dcterms:created>
  <dcterms:modified xsi:type="dcterms:W3CDTF">2023-11-30T17:19:33Z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graphy">
    <vt:lpwstr>../eeid.bib</vt:lpwstr>
  </property>
  <property fmtid="{D5CDD505-2E9C-101B-9397-08002B2CF9AE}" pid="3" name="csl">
    <vt:lpwstr>apa.csl</vt:lpwstr>
  </property>
  <property fmtid="{D5CDD505-2E9C-101B-9397-08002B2CF9AE}" pid="4" name="date">
    <vt:lpwstr>30 Nov 2023</vt:lpwstr>
  </property>
  <property fmtid="{D5CDD505-2E9C-101B-9397-08002B2CF9AE}" pid="5" name="header-includes">
    <vt:lpwstr/>
  </property>
</Properties>
</file>