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1.png" ContentType="image/png"/>
  <Override PartName="/word/media/rId60.png" ContentType="image/png"/>
  <Override PartName="/word/media/rId69.png" ContentType="image/png"/>
  <Override PartName="/word/media/rId54.png" ContentType="image/png"/>
  <Override PartName="/word/media/rId50.png" ContentType="image/png"/>
  <Override PartName="/word/media/rId35.png" ContentType="image/png"/>
  <Override PartName="/word/media/rId23.png" ContentType="image/png"/>
  <Override PartName="/word/media/rId26.png" ContentType="image/png"/>
  <Override PartName="/word/media/rId46.jpg" ContentType="image/jpeg"/>
  <Override PartName="/word/media/rId6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evolution</w:t>
      </w:r>
      <w:r>
        <w:t xml:space="preserve"> </w:t>
      </w:r>
      <w:r>
        <w:t xml:space="preserve">of</w:t>
      </w:r>
      <w:r>
        <w:t xml:space="preserve"> </w:t>
      </w:r>
      <w:r>
        <w:t xml:space="preserve">host</w:t>
      </w:r>
      <w:r>
        <w:t xml:space="preserve"> </w:t>
      </w:r>
      <w:r>
        <w:t xml:space="preserve">resistance</w:t>
      </w:r>
      <w:r>
        <w:t xml:space="preserve"> </w:t>
      </w:r>
      <w:r>
        <w:t xml:space="preserve">and</w:t>
      </w:r>
      <w:r>
        <w:t xml:space="preserve"> </w:t>
      </w:r>
      <w:r>
        <w:t xml:space="preserve">tolerance</w:t>
      </w:r>
    </w:p>
    <w:p>
      <w:pPr>
        <w:pStyle w:val="Date"/>
      </w:pPr>
      <w:r>
        <w:t xml:space="preserve">28</w:t>
      </w:r>
      <w:r>
        <w:t xml:space="preserve"> </w:t>
      </w:r>
      <w:r>
        <w:t xml:space="preserve">October</w:t>
      </w:r>
      <w:r>
        <w:t xml:space="preserve"> </w:t>
      </w:r>
      <w:r>
        <w:t xml:space="preserve">2023</w:t>
      </w:r>
    </w:p>
    <w:bookmarkStart w:id="124" w:name="definitionsquestions"/>
    <w:p>
      <w:pPr>
        <w:pStyle w:val="Heading1"/>
      </w:pPr>
      <w:r>
        <w:t xml:space="preserve">Definitions/questions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resistance</w:t>
      </w:r>
      <w:r>
        <w:t xml:space="preserve">: host’s ability to resist or minimize infection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tolerance</w:t>
      </w:r>
      <w:r>
        <w:t xml:space="preserve">: host’s ability to support parasite infection without losing fitness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competence</w:t>
      </w:r>
      <w:r>
        <w:t xml:space="preserve">: host’s ability to support</w:t>
      </w:r>
      <w:r>
        <w:t xml:space="preserve"> </w:t>
      </w:r>
      <w:r>
        <w:rPr>
          <w:iCs/>
          <w:i/>
        </w:rPr>
        <w:t xml:space="preserve">and transmit</w:t>
      </w:r>
      <w:r>
        <w:t xml:space="preserve"> </w:t>
      </w:r>
      <w:r>
        <w:t xml:space="preserve">parasites (especially vector-borne)</w:t>
      </w:r>
    </w:p>
    <w:p>
      <w:pPr>
        <w:numPr>
          <w:ilvl w:val="0"/>
          <w:numId w:val="1001"/>
        </w:numPr>
        <w:pStyle w:val="Compact"/>
      </w:pPr>
      <w:r>
        <w:t xml:space="preserve">encounter and compatibility filters: avoiding parasites vs killing vs tolerating them</w:t>
      </w:r>
    </w:p>
    <w:bookmarkStart w:id="20" w:name="mechanisms"/>
    <w:p>
      <w:pPr>
        <w:pStyle w:val="Heading2"/>
      </w:pPr>
      <w:r>
        <w:t xml:space="preserve">Mechanisms</w:t>
      </w:r>
    </w:p>
    <w:p>
      <w:pPr>
        <w:numPr>
          <w:ilvl w:val="0"/>
          <w:numId w:val="1002"/>
        </w:numPr>
        <w:pStyle w:val="Compact"/>
      </w:pPr>
      <w:r>
        <w:t xml:space="preserve">active defense (</w:t>
      </w:r>
      <w:r>
        <w:rPr>
          <w:iCs/>
          <w:i/>
        </w:rPr>
        <w:t xml:space="preserve">plastic</w:t>
      </w:r>
      <w:r>
        <w:t xml:space="preserve"> </w:t>
      </w:r>
      <w:r>
        <w:t xml:space="preserve">or</w:t>
      </w:r>
      <w:r>
        <w:t xml:space="preserve"> </w:t>
      </w:r>
      <w:r>
        <w:rPr>
          <w:iCs/>
          <w:i/>
        </w:rPr>
        <w:t xml:space="preserve">facultative</w:t>
      </w:r>
      <w:r>
        <w:t xml:space="preserve"> </w:t>
      </w:r>
      <w:r>
        <w:t xml:space="preserve">defenses):</w:t>
      </w:r>
      <w:r>
        <w:t xml:space="preserve"> </w:t>
      </w:r>
      <w:r>
        <w:rPr>
          <w:bCs/>
          <w:b/>
        </w:rPr>
        <w:t xml:space="preserve">recognition systems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effectors</w:t>
      </w:r>
    </w:p>
    <w:p>
      <w:pPr>
        <w:numPr>
          <w:ilvl w:val="1"/>
          <w:numId w:val="1003"/>
        </w:numPr>
        <w:pStyle w:val="Compact"/>
      </w:pPr>
      <w:r>
        <w:t xml:space="preserve">recognition systems are the</w:t>
      </w:r>
      <w:r>
        <w:t xml:space="preserve"> </w:t>
      </w:r>
      <w:r>
        <w:rPr>
          <w:iCs/>
          <w:i/>
        </w:rPr>
        <w:t xml:space="preserve">qualitative</w:t>
      </w:r>
      <w:r>
        <w:t xml:space="preserve"> </w:t>
      </w:r>
      <w:r>
        <w:t xml:space="preserve">component of host defense: does the host recognize that the parasite (specifically, a parasite</w:t>
      </w:r>
      <w:r>
        <w:t xml:space="preserve"> </w:t>
      </w:r>
      <w:r>
        <w:rPr>
          <w:bCs/>
          <w:b/>
        </w:rPr>
        <w:t xml:space="preserve">antigen</w:t>
      </w:r>
      <w:r>
        <w:t xml:space="preserve">) is present? These will typically evolve by Red Queen dynamics (i.e., via an inverse matching allele model). In vertebrates:</w:t>
      </w:r>
      <w:r>
        <w:t xml:space="preserve"> </w:t>
      </w:r>
      <w:r>
        <w:rPr>
          <w:bCs/>
          <w:b/>
        </w:rPr>
        <w:t xml:space="preserve">antibodies</w:t>
      </w:r>
    </w:p>
    <w:p>
      <w:pPr>
        <w:numPr>
          <w:ilvl w:val="1"/>
          <w:numId w:val="1003"/>
        </w:numPr>
        <w:pStyle w:val="Compact"/>
      </w:pPr>
      <w:r>
        <w:t xml:space="preserve">must be</w:t>
      </w:r>
      <w:r>
        <w:t xml:space="preserve"> </w:t>
      </w:r>
      <w:r>
        <w:rPr>
          <w:bCs/>
          <w:b/>
        </w:rPr>
        <w:t xml:space="preserve">specific</w:t>
      </w:r>
      <w:r>
        <w:t xml:space="preserve"> </w:t>
      </w:r>
      <w:r>
        <w:t xml:space="preserve">(self/non-self recognition), trigger proportionate response</w:t>
      </w:r>
    </w:p>
    <w:p>
      <w:pPr>
        <w:numPr>
          <w:ilvl w:val="1"/>
          <w:numId w:val="1003"/>
        </w:numPr>
        <w:pStyle w:val="Compact"/>
      </w:pPr>
      <w:r>
        <w:t xml:space="preserve">coded by the</w:t>
      </w:r>
      <w:r>
        <w:t xml:space="preserve"> </w:t>
      </w:r>
      <w:r>
        <w:rPr>
          <w:bCs/>
          <w:b/>
        </w:rPr>
        <w:t xml:space="preserve">major histocompatibility complex</w:t>
      </w:r>
      <w:r>
        <w:t xml:space="preserve"> </w:t>
      </w:r>
      <w:r>
        <w:t xml:space="preserve">(self/non-self recognition),</w:t>
      </w:r>
      <w:r>
        <w:t xml:space="preserve"> </w:t>
      </w:r>
      <w:r>
        <w:rPr>
          <w:bCs/>
          <w:b/>
        </w:rPr>
        <w:t xml:space="preserve">somatic recombination</w:t>
      </w:r>
      <w:r>
        <w:t xml:space="preserve">, deletion of host-specific antigens</w:t>
      </w:r>
      <w:r>
        <w:t xml:space="preserve"> </w:t>
      </w:r>
      <w:r>
        <w:t xml:space="preserve">(Borghans, Beltman, and De Boer 2004; Acevedo-Whitehouse and Cunningham 2006; Rauch, Kalbe, and Reusch 2006; Spurgin and Richardson 2010)</w:t>
      </w:r>
    </w:p>
    <w:p>
      <w:pPr>
        <w:numPr>
          <w:ilvl w:val="1"/>
          <w:numId w:val="1003"/>
        </w:numPr>
        <w:pStyle w:val="Compact"/>
      </w:pPr>
      <w:r>
        <w:rPr>
          <w:iCs/>
          <w:i/>
        </w:rPr>
        <w:t xml:space="preserve">effectors</w:t>
      </w:r>
      <w:r>
        <w:t xml:space="preserve">: what does the host do once the parasite is detected?</w:t>
      </w:r>
    </w:p>
    <w:p>
      <w:pPr>
        <w:numPr>
          <w:ilvl w:val="0"/>
          <w:numId w:val="1002"/>
        </w:numPr>
        <w:pStyle w:val="Compact"/>
      </w:pPr>
      <w:r>
        <w:t xml:space="preserve">passive/always-on defense:</w:t>
      </w:r>
      <w:r>
        <w:t xml:space="preserve"> </w:t>
      </w:r>
      <w:r>
        <w:rPr>
          <w:bCs/>
          <w:b/>
        </w:rPr>
        <w:t xml:space="preserve">constitutive</w:t>
      </w:r>
    </w:p>
    <w:p>
      <w:pPr>
        <w:numPr>
          <w:ilvl w:val="1"/>
          <w:numId w:val="1004"/>
        </w:numPr>
        <w:pStyle w:val="Compact"/>
      </w:pPr>
      <w:r>
        <w:t xml:space="preserve">changing cell surface receptors (e.g. CCR5-</w:t>
      </w:r>
      <m:oMath>
        <m:r>
          <m:t>Δ</m:t>
        </m:r>
        <m:r>
          <m:t>32</m:t>
        </m:r>
      </m:oMath>
      <w:r>
        <w:t xml:space="preserve"> </w:t>
      </w:r>
      <w:r>
        <w:t xml:space="preserve">(HIV,</w:t>
      </w:r>
      <w:r>
        <w:t xml:space="preserve"> </w:t>
      </w:r>
      <w:r>
        <w:t xml:space="preserve">Hummel et al. (2005)</w:t>
      </w:r>
      <w:r>
        <w:t xml:space="preserve">); matching-allele model</w:t>
      </w:r>
    </w:p>
    <w:p>
      <w:pPr>
        <w:numPr>
          <w:ilvl w:val="0"/>
          <w:numId w:val="1002"/>
        </w:numPr>
        <w:pStyle w:val="Compact"/>
      </w:pPr>
      <w:r>
        <w:t xml:space="preserve">parasite countermeasures (immune evasion [trypanosomes], immune suppression [measles, anthrax, …])</w:t>
      </w:r>
      <w:r>
        <w:t xml:space="preserve"> </w:t>
      </w:r>
      <w:r>
        <w:t xml:space="preserve">(Schmid-Hempel 2009)</w:t>
      </w:r>
    </w:p>
    <w:bookmarkEnd w:id="20"/>
    <w:bookmarkStart w:id="21" w:name="costs-and-tradeoffs"/>
    <w:p>
      <w:pPr>
        <w:pStyle w:val="Heading2"/>
      </w:pPr>
      <w:r>
        <w:t xml:space="preserve">Costs and tradeoffs</w:t>
      </w:r>
    </w:p>
    <w:p>
      <w:pPr>
        <w:pStyle w:val="FirstParagraph"/>
      </w:pPr>
      <w:r>
        <w:t xml:space="preserve">What are the</w:t>
      </w:r>
      <w:r>
        <w:t xml:space="preserve"> </w:t>
      </w:r>
      <w:r>
        <w:rPr>
          <w:bCs/>
          <w:b/>
        </w:rPr>
        <w:t xml:space="preserve">costs</w:t>
      </w:r>
      <w:r>
        <w:t xml:space="preserve"> </w:t>
      </w:r>
      <w:r>
        <w:t xml:space="preserve">of resistance and tolerance? (= Why aren’t all hosts tolerant/resistant to all parasites?)</w:t>
      </w:r>
    </w:p>
    <w:p>
      <w:pPr>
        <w:pStyle w:val="BodyText"/>
      </w:pPr>
      <w:r>
        <w:t xml:space="preserve">(Klemme, Hyvärinen, and Karvonen 2020)</w:t>
      </w:r>
    </w:p>
    <w:p>
      <w:pPr>
        <w:numPr>
          <w:ilvl w:val="0"/>
          <w:numId w:val="1005"/>
        </w:numPr>
        <w:pStyle w:val="Compact"/>
      </w:pPr>
      <w:r>
        <w:t xml:space="preserve">cost of maintaining recognition mechanisms</w:t>
      </w:r>
    </w:p>
    <w:p>
      <w:pPr>
        <w:numPr>
          <w:ilvl w:val="0"/>
          <w:numId w:val="1005"/>
        </w:numPr>
        <w:pStyle w:val="Compact"/>
      </w:pPr>
      <w:r>
        <w:t xml:space="preserve">cost of choosing different habitats</w:t>
      </w:r>
    </w:p>
    <w:p>
      <w:pPr>
        <w:numPr>
          <w:ilvl w:val="0"/>
          <w:numId w:val="1005"/>
        </w:numPr>
        <w:pStyle w:val="Compact"/>
      </w:pPr>
      <w:r>
        <w:t xml:space="preserve">tradeoffs (RQ-related or ?)</w:t>
      </w:r>
    </w:p>
    <w:bookmarkEnd w:id="21"/>
    <w:bookmarkStart w:id="22" w:name="population-level-evolution-eco-evolution"/>
    <w:p>
      <w:pPr>
        <w:pStyle w:val="Heading2"/>
      </w:pPr>
      <w:r>
        <w:t xml:space="preserve">Population-level evolution (eco-evolution)</w:t>
      </w:r>
    </w:p>
    <w:p>
      <w:pPr>
        <w:pStyle w:val="FirstParagraph"/>
      </w:pPr>
      <w:r>
        <w:t xml:space="preserve">Stahl et al. (1999)</w:t>
      </w:r>
      <w:r>
        <w:t xml:space="preserve">;</w:t>
      </w:r>
      <w:r>
        <w:t xml:space="preserve"> </w:t>
      </w:r>
      <w:r>
        <w:t xml:space="preserve">Roy and Kirchner (2000)</w:t>
      </w:r>
    </w:p>
    <w:p>
      <w:pPr>
        <w:numPr>
          <w:ilvl w:val="0"/>
          <w:numId w:val="1006"/>
        </w:numPr>
        <w:pStyle w:val="Compact"/>
      </w:pPr>
      <w:r>
        <w:t xml:space="preserve">resistance lowers prevalence - selects against itself; expect</w:t>
      </w:r>
      <w:r>
        <w:t xml:space="preserve"> </w:t>
      </w:r>
      <w:r>
        <w:rPr>
          <w:iCs/>
          <w:i/>
        </w:rPr>
        <w:t xml:space="preserve">polymorphism</w:t>
      </w:r>
    </w:p>
    <w:p>
      <w:pPr>
        <w:numPr>
          <w:ilvl w:val="0"/>
          <w:numId w:val="1006"/>
        </w:numPr>
        <w:pStyle w:val="Compact"/>
      </w:pPr>
      <w:r>
        <w:t xml:space="preserve">tolerance increases prevalence - selects for itself (</w:t>
      </w:r>
      <w:r>
        <w:rPr>
          <w:iCs/>
          <w:i/>
        </w:rPr>
        <w:t xml:space="preserve">apparent competition</w:t>
      </w:r>
      <w:r>
        <w:t xml:space="preserve"> </w:t>
      </w:r>
      <w:r>
        <w:t xml:space="preserve">with non-tolerant genotypes); expect</w:t>
      </w:r>
      <w:r>
        <w:t xml:space="preserve"> </w:t>
      </w:r>
      <w:r>
        <w:rPr>
          <w:iCs/>
          <w:i/>
        </w:rPr>
        <w:t xml:space="preserve">fixation</w:t>
      </w:r>
      <w:r>
        <w:t xml:space="preserve">. (Is tolerance evolution-proof?</w:t>
      </w:r>
      <w:r>
        <w:t xml:space="preserve"> </w:t>
      </w:r>
      <w:r>
        <w:t xml:space="preserve">(Schneider and Ayres 2008)</w:t>
      </w:r>
      <w:r>
        <w:t xml:space="preserve">)</w:t>
      </w:r>
    </w:p>
    <w:bookmarkEnd w:id="22"/>
    <w:bookmarkStart w:id="30" w:name="Xdb2bc4294bb4eb1057b0b8fc7709c058e3caeb6"/>
    <w:p>
      <w:pPr>
        <w:pStyle w:val="Heading2"/>
      </w:pPr>
      <w:r>
        <w:t xml:space="preserve">Measuring quantitative resistance/tolerance</w:t>
      </w:r>
    </w:p>
    <w:p>
      <w:pPr>
        <w:numPr>
          <w:ilvl w:val="0"/>
          <w:numId w:val="1007"/>
        </w:numPr>
        <w:pStyle w:val="Compact"/>
      </w:pPr>
      <w:r>
        <w:t xml:space="preserve">tolerance: loss of fitness</w:t>
      </w:r>
      <w:r>
        <w:t xml:space="preserve"> </w:t>
      </w:r>
      <w:r>
        <w:rPr>
          <w:bCs/>
          <w:b/>
        </w:rPr>
        <w:t xml:space="preserve">per unit parasite load</w:t>
      </w:r>
    </w:p>
    <w:p>
      <w:pPr>
        <w:numPr>
          <w:ilvl w:val="0"/>
          <w:numId w:val="1007"/>
        </w:numPr>
        <w:pStyle w:val="Compact"/>
      </w:pPr>
      <w:r>
        <w:t xml:space="preserve">resistance: level of parasite load</w:t>
      </w:r>
    </w:p>
    <w:p>
      <w:pPr>
        <w:pStyle w:val="FirstParagraph"/>
      </w:pPr>
      <w:r>
        <w:t xml:space="preserve">(Raberg, Sim, and Read 2007; Råberg, Graham, and Read 2009)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drawing>
                <wp:inline>
                  <wp:extent cx="5334000" cy="5599415"/>
                  <wp:effectExtent b="0" l="0" r="0" t="0"/>
                  <wp:docPr descr="" title="" id="24" name="Picture"/>
                  <a:graphic>
                    <a:graphicData uri="http://schemas.openxmlformats.org/drawingml/2006/picture">
                      <pic:pic>
                        <pic:nvPicPr>
                          <pic:cNvPr descr="pix/raberg_fig1.png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5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5334000" cy="5004061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pix/raberg_fig2a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00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!</w:t>
            </w:r>
          </w:p>
        </w:tc>
        <w:tc>
          <w:tcPr/>
          <w:p>
            <w:pPr>
              <w:pStyle w:val="Compact"/>
              <w:jc w:val="left"/>
            </w:pPr>
            <w:hyperlink r:id="rId29"/>
          </w:p>
        </w:tc>
      </w:tr>
    </w:tbl>
    <w:bookmarkEnd w:id="30"/>
    <w:bookmarkStart w:id="31" w:name="Xe6f8c103148721c4618a9fee540b4d0ef161277"/>
    <w:p>
      <w:pPr>
        <w:pStyle w:val="Heading2"/>
      </w:pPr>
      <w:r>
        <w:t xml:space="preserve">Disentangling the history/origin of deleterious recessive Mendelian alleles</w:t>
      </w:r>
    </w:p>
    <w:p>
      <w:pPr>
        <w:numPr>
          <w:ilvl w:val="0"/>
          <w:numId w:val="1008"/>
        </w:numPr>
        <w:pStyle w:val="Compact"/>
      </w:pPr>
      <w:r>
        <w:t xml:space="preserve">Genetic</w:t>
      </w:r>
      <w:r>
        <w:t xml:space="preserve"> </w:t>
      </w:r>
      <w:r>
        <w:rPr>
          <w:iCs/>
          <w:i/>
        </w:rPr>
        <w:t xml:space="preserve">polymorphisms</w:t>
      </w:r>
      <w:r>
        <w:t xml:space="preserve"> </w:t>
      </w:r>
      <w:r>
        <w:t xml:space="preserve">are interesting; why haven’t they been eliminated or fixed?</w:t>
      </w:r>
    </w:p>
    <w:bookmarkEnd w:id="31"/>
    <w:bookmarkStart w:id="32" w:name="hypotheses"/>
    <w:p>
      <w:pPr>
        <w:pStyle w:val="Heading2"/>
      </w:pPr>
      <w:r>
        <w:t xml:space="preserve">hypotheses</w:t>
      </w:r>
    </w:p>
    <w:p>
      <w:pPr>
        <w:numPr>
          <w:ilvl w:val="0"/>
          <w:numId w:val="1009"/>
        </w:numPr>
        <w:pStyle w:val="Compact"/>
      </w:pPr>
      <w:r>
        <w:t xml:space="preserve">genetic drift (null)</w:t>
      </w:r>
    </w:p>
    <w:p>
      <w:pPr>
        <w:numPr>
          <w:ilvl w:val="1"/>
          <w:numId w:val="1010"/>
        </w:numPr>
        <w:pStyle w:val="Compact"/>
      </w:pPr>
      <w:r>
        <w:t xml:space="preserve">historic size of populations? (historical records, population genetics [</w:t>
      </w:r>
      <w:r>
        <w:rPr>
          <w:iCs/>
          <w:i/>
        </w:rPr>
        <w:t xml:space="preserve">coalescents</w:t>
      </w:r>
      <w:r>
        <w:t xml:space="preserve">])</w:t>
      </w:r>
    </w:p>
    <w:p>
      <w:pPr>
        <w:numPr>
          <w:ilvl w:val="1"/>
          <w:numId w:val="1010"/>
        </w:numPr>
        <w:pStyle w:val="Compact"/>
      </w:pPr>
      <w:r>
        <w:t xml:space="preserve">strength of selection/maintenance in large populations?</w:t>
      </w:r>
    </w:p>
    <w:p>
      <w:pPr>
        <w:numPr>
          <w:ilvl w:val="0"/>
          <w:numId w:val="1009"/>
        </w:numPr>
        <w:pStyle w:val="Compact"/>
      </w:pPr>
      <w:r>
        <w:t xml:space="preserve">heterozygote advantage</w:t>
      </w:r>
    </w:p>
    <w:p>
      <w:pPr>
        <w:numPr>
          <w:ilvl w:val="0"/>
          <w:numId w:val="1009"/>
        </w:numPr>
        <w:pStyle w:val="Compact"/>
      </w:pPr>
      <w:r>
        <w:t xml:space="preserve">frequency-dependent selection (RQ vs. arms race)</w:t>
      </w:r>
    </w:p>
    <w:bookmarkEnd w:id="32"/>
    <w:bookmarkStart w:id="33" w:name="tay-sachs-disease"/>
    <w:p>
      <w:pPr>
        <w:pStyle w:val="Heading2"/>
      </w:pPr>
      <w:r>
        <w:t xml:space="preserve">Tay-Sachs disease</w:t>
      </w:r>
    </w:p>
    <w:p>
      <w:pPr>
        <w:numPr>
          <w:ilvl w:val="0"/>
          <w:numId w:val="1011"/>
        </w:numPr>
        <w:pStyle w:val="Compact"/>
      </w:pPr>
      <w:r>
        <w:t xml:space="preserve">Lethal abnormality in hexosaminidase A (lipid metabolism);</w:t>
      </w:r>
      <w:r>
        <w:t xml:space="preserve"> </w:t>
      </w:r>
      <w:r>
        <w:t xml:space="preserve">early (infant/toddler) death</w:t>
      </w:r>
    </w:p>
    <w:p>
      <w:pPr>
        <w:numPr>
          <w:ilvl w:val="0"/>
          <w:numId w:val="1011"/>
        </w:numPr>
        <w:pStyle w:val="Compact"/>
      </w:pPr>
      <w:r>
        <w:t xml:space="preserve">Mendelian, recessive lethal (</w:t>
      </w:r>
      <m:oMath>
        <m:r>
          <m:t>s</m:t>
        </m:r>
        <m:r>
          <m:rPr>
            <m:sty m:val="p"/>
          </m:rPr>
          <m:t>=</m:t>
        </m:r>
        <m:r>
          <m:t>1</m:t>
        </m:r>
      </m:oMath>
      <w:r>
        <w:t xml:space="preserve">)</w:t>
      </w:r>
    </w:p>
    <w:p>
      <w:pPr>
        <w:numPr>
          <w:ilvl w:val="0"/>
          <w:numId w:val="1011"/>
        </w:numPr>
        <w:pStyle w:val="Compact"/>
      </w:pPr>
      <w:r>
        <w:t xml:space="preserve">allele frequency</w:t>
      </w:r>
      <w:r>
        <w:t xml:space="preserve"> </w:t>
      </w:r>
      <m:oMath>
        <m:r>
          <m:rPr>
            <m:sty m:val="p"/>
          </m:rPr>
          <m:t>≈</m:t>
        </m:r>
      </m:oMath>
      <w:r>
        <w:t xml:space="preserve"> </w:t>
      </w:r>
      <w:r>
        <w:t xml:space="preserve">1/300 in US population, 1/30 in Ashkenazi (E. European) Jews: also high in French Canadians, Cajuns, Pennsylvania Dutch …</w:t>
      </w:r>
    </w:p>
    <w:p>
      <w:pPr>
        <w:numPr>
          <w:ilvl w:val="0"/>
          <w:numId w:val="1011"/>
        </w:numPr>
        <w:pStyle w:val="Compact"/>
      </w:pPr>
      <w:r>
        <w:t xml:space="preserve">Population-genetic evidence suggests drift</w:t>
      </w:r>
    </w:p>
    <w:p>
      <w:pPr>
        <w:numPr>
          <w:ilvl w:val="0"/>
          <w:numId w:val="1011"/>
        </w:numPr>
        <w:pStyle w:val="Compact"/>
      </w:pPr>
      <w:r>
        <w:t xml:space="preserve">(Terrible!) speculation about</w:t>
      </w:r>
      <w:r>
        <w:t xml:space="preserve"> </w:t>
      </w:r>
      <w:r>
        <w:rPr>
          <w:bCs/>
          <w:b/>
        </w:rPr>
        <w:t xml:space="preserve">overdominance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heterozygote advantage</w:t>
      </w:r>
      <w:r>
        <w:t xml:space="preserve">: Tb resistance, intelligence: ???</w:t>
      </w:r>
      <w:r>
        <w:br/>
      </w:r>
      <w:r>
        <w:t xml:space="preserve">(Spyropoulos 1988; Frost 2012; Frisch et al. 2004)</w:t>
      </w:r>
    </w:p>
    <w:bookmarkEnd w:id="33"/>
    <w:bookmarkStart w:id="34" w:name="phenylketonuria-pku"/>
    <w:p>
      <w:pPr>
        <w:pStyle w:val="Heading2"/>
      </w:pPr>
      <w:r>
        <w:t xml:space="preserve">phenylketonuria (PKU)</w:t>
      </w:r>
    </w:p>
    <w:p>
      <w:pPr>
        <w:numPr>
          <w:ilvl w:val="0"/>
          <w:numId w:val="1012"/>
        </w:numPr>
        <w:pStyle w:val="Compact"/>
      </w:pPr>
      <w:r>
        <w:t xml:space="preserve">metabolic disorder (phenylalanine)</w:t>
      </w:r>
    </w:p>
    <w:p>
      <w:pPr>
        <w:numPr>
          <w:ilvl w:val="0"/>
          <w:numId w:val="1012"/>
        </w:numPr>
        <w:pStyle w:val="Compact"/>
      </w:pPr>
      <w:r>
        <w:t xml:space="preserve">many different mutations</w:t>
      </w:r>
    </w:p>
    <w:p>
      <w:pPr>
        <w:numPr>
          <w:ilvl w:val="0"/>
          <w:numId w:val="1012"/>
        </w:numPr>
        <w:pStyle w:val="Compact"/>
      </w:pPr>
      <w:r>
        <w:t xml:space="preserve">homozygous PKU historically lethal (</w:t>
      </w:r>
      <w:r>
        <w:rPr>
          <w:bCs/>
          <w:b/>
        </w:rPr>
        <w:t xml:space="preserve">selection coefficient</w:t>
      </w:r>
      <w:r>
        <w:t xml:space="preserve"> </w:t>
      </w:r>
      <w:r>
        <w:t xml:space="preserve">= 1)</w:t>
      </w:r>
    </w:p>
    <w:p>
      <w:pPr>
        <w:numPr>
          <w:ilvl w:val="0"/>
          <w:numId w:val="1012"/>
        </w:numPr>
        <w:pStyle w:val="Compact"/>
      </w:pPr>
      <w:r>
        <w:t xml:space="preserve">PKU alleles are old</w:t>
      </w:r>
    </w:p>
    <w:bookmarkEnd w:id="34"/>
    <w:bookmarkStart w:id="38" w:name="pku-incidence-hillert_genetic_2020"/>
    <w:p>
      <w:pPr>
        <w:pStyle w:val="Heading2"/>
      </w:pPr>
      <w:r>
        <w:t xml:space="preserve">PKU incidence</w:t>
      </w:r>
      <w:r>
        <w:t xml:space="preserve"> </w:t>
      </w:r>
      <w:r>
        <w:t xml:space="preserve">(Hillert et al. 2020)</w:t>
      </w:r>
    </w:p>
    <w:p>
      <w:pPr>
        <w:pStyle w:val="FirstParagraph"/>
      </w:pPr>
      <w:r>
        <w:drawing>
          <wp:inline>
            <wp:extent cx="5334000" cy="7648603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pix/pku_incidence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48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pku-genetics"/>
    <w:p>
      <w:pPr>
        <w:pStyle w:val="Heading2"/>
      </w:pPr>
      <w:r>
        <w:t xml:space="preserve">PKU genetics</w:t>
      </w:r>
    </w:p>
    <w:p>
      <w:pPr>
        <w:pStyle w:val="FirstParagraph"/>
      </w:pPr>
      <w:r>
        <w:t xml:space="preserve">why not drift?</w:t>
      </w:r>
      <w:r>
        <w:t xml:space="preserve"> </w:t>
      </w:r>
      <w:r>
        <w:t xml:space="preserve">(Krawczak and Zschocke 2003)</w:t>
      </w:r>
    </w:p>
    <w:p>
      <w:pPr>
        <w:numPr>
          <w:ilvl w:val="0"/>
          <w:numId w:val="1013"/>
        </w:numPr>
        <w:pStyle w:val="Compact"/>
      </w:pPr>
      <w:r>
        <w:t xml:space="preserve">many different mutations</w:t>
      </w:r>
    </w:p>
    <w:p>
      <w:pPr>
        <w:numPr>
          <w:ilvl w:val="0"/>
          <w:numId w:val="1013"/>
        </w:numPr>
        <w:pStyle w:val="Compact"/>
      </w:pPr>
      <w:r>
        <w:t xml:space="preserve">present across many populations</w:t>
      </w:r>
    </w:p>
    <w:p>
      <w:pPr>
        <w:numPr>
          <w:ilvl w:val="0"/>
          <w:numId w:val="1013"/>
        </w:numPr>
        <w:pStyle w:val="Compact"/>
      </w:pPr>
      <w:r>
        <w:t xml:space="preserve">populations without history of being small</w:t>
      </w:r>
    </w:p>
    <w:p>
      <w:pPr>
        <w:numPr>
          <w:ilvl w:val="1"/>
          <w:numId w:val="1014"/>
        </w:numPr>
        <w:pStyle w:val="Compact"/>
      </w:pPr>
      <w:r>
        <w:t xml:space="preserve">e.g. Irish gene pool from</w:t>
      </w:r>
      <w:r>
        <w:t xml:space="preserve"> </w:t>
      </w:r>
      <m:oMath>
        <m:r>
          <m:rPr>
            <m:sty m:val="p"/>
          </m:rPr>
          <m:t>≈</m:t>
        </m:r>
      </m:oMath>
      <w:r>
        <w:t xml:space="preserve"> </w:t>
      </w:r>
      <w:r>
        <w:t xml:space="preserve">2500 BC</w:t>
      </w:r>
    </w:p>
    <w:p>
      <w:pPr>
        <w:numPr>
          <w:ilvl w:val="1"/>
          <w:numId w:val="1014"/>
        </w:numPr>
        <w:pStyle w:val="Compact"/>
      </w:pPr>
      <w:r>
        <w:t xml:space="preserve">population size was 100K-200K</w:t>
      </w:r>
    </w:p>
    <w:p>
      <w:pPr>
        <w:numPr>
          <w:ilvl w:val="1"/>
          <w:numId w:val="1014"/>
        </w:numPr>
        <w:pStyle w:val="Compact"/>
      </w:pPr>
      <w:r>
        <w:t xml:space="preserve">current expected frequency 0.6% is twice as high as expected</w:t>
      </w:r>
    </w:p>
    <w:bookmarkEnd w:id="39"/>
    <w:bookmarkStart w:id="40" w:name="pku-genetics-conclusion"/>
    <w:p>
      <w:pPr>
        <w:pStyle w:val="Heading2"/>
      </w:pPr>
      <w:r>
        <w:t xml:space="preserve">PKU genetics: conclusion</w:t>
      </w:r>
    </w:p>
    <w:p>
      <w:pPr>
        <w:numPr>
          <w:ilvl w:val="0"/>
          <w:numId w:val="1015"/>
        </w:numPr>
        <w:pStyle w:val="Compact"/>
      </w:pPr>
      <w:r>
        <w:t xml:space="preserve">calculation from genetic models</w:t>
      </w:r>
    </w:p>
    <w:p>
      <w:pPr>
        <w:numPr>
          <w:ilvl w:val="0"/>
          <w:numId w:val="1015"/>
        </w:numPr>
        <w:pStyle w:val="Compact"/>
      </w:pPr>
      <w:r>
        <w:t xml:space="preserve">heterozygote advantage probably</w:t>
      </w:r>
      <w:r>
        <w:t xml:space="preserve"> </w:t>
      </w:r>
      <m:oMath>
        <m:r>
          <m:rPr>
            <m:sty m:val="p"/>
          </m:rPr>
          <m:t>≈</m:t>
        </m:r>
      </m:oMath>
      <w:r>
        <w:t xml:space="preserve"> </w:t>
      </w:r>
      <w:r>
        <w:t xml:space="preserve">1.5%</w:t>
      </w:r>
    </w:p>
    <w:p>
      <w:pPr>
        <w:numPr>
          <w:ilvl w:val="0"/>
          <w:numId w:val="1015"/>
        </w:numPr>
        <w:pStyle w:val="Compact"/>
      </w:pPr>
      <w:r>
        <w:t xml:space="preserve">hard to measure directly!</w:t>
      </w:r>
    </w:p>
    <w:p>
      <w:pPr>
        <w:numPr>
          <w:ilvl w:val="0"/>
          <w:numId w:val="1015"/>
        </w:numPr>
        <w:pStyle w:val="Compact"/>
      </w:pPr>
      <w:r>
        <w:t xml:space="preserve">probably due to higher phenylalanine levels in heterozygotes</w:t>
      </w:r>
    </w:p>
    <w:p>
      <w:pPr>
        <w:numPr>
          <w:ilvl w:val="0"/>
          <w:numId w:val="1015"/>
        </w:numPr>
        <w:pStyle w:val="Compact"/>
      </w:pPr>
      <w:r>
        <w:t xml:space="preserve">phenotypic effects?</w:t>
      </w:r>
    </w:p>
    <w:p>
      <w:pPr>
        <w:numPr>
          <w:ilvl w:val="1"/>
          <w:numId w:val="1016"/>
        </w:numPr>
        <w:pStyle w:val="Compact"/>
      </w:pPr>
      <w:r>
        <w:t xml:space="preserve">higher birth weight</w:t>
      </w:r>
    </w:p>
    <w:p>
      <w:pPr>
        <w:numPr>
          <w:ilvl w:val="1"/>
          <w:numId w:val="1016"/>
        </w:numPr>
        <w:pStyle w:val="Compact"/>
      </w:pPr>
      <w:r>
        <w:t xml:space="preserve">mycotoxin resistance?</w:t>
      </w:r>
    </w:p>
    <w:p>
      <w:pPr>
        <w:numPr>
          <w:ilvl w:val="1"/>
          <w:numId w:val="1016"/>
        </w:numPr>
        <w:pStyle w:val="Compact"/>
      </w:pPr>
      <w:r>
        <w:t xml:space="preserve">starvation resistance?</w:t>
      </w:r>
    </w:p>
    <w:bookmarkEnd w:id="40"/>
    <w:bookmarkStart w:id="44" w:name="sickle-cell"/>
    <w:p>
      <w:pPr>
        <w:pStyle w:val="Heading2"/>
      </w:pPr>
      <w:r>
        <w:t xml:space="preserve">Sickle-cell</w:t>
      </w:r>
    </w:p>
    <w:p>
      <w:pPr>
        <w:numPr>
          <w:ilvl w:val="0"/>
          <w:numId w:val="1017"/>
        </w:numPr>
        <w:pStyle w:val="Compact"/>
      </w:pPr>
      <w:r>
        <w:t xml:space="preserve">overdominance</w:t>
      </w:r>
      <w:r>
        <w:br/>
      </w:r>
      <w:r>
        <w:t xml:space="preserve">(heterozygote advantage)</w:t>
      </w:r>
    </w:p>
    <w:p>
      <w:pPr>
        <w:numPr>
          <w:ilvl w:val="0"/>
          <w:numId w:val="1017"/>
        </w:numPr>
        <w:pStyle w:val="Compact"/>
      </w:pPr>
      <w:r>
        <w:t xml:space="preserve">selection for</w:t>
      </w:r>
      <w:r>
        <w:t xml:space="preserve"> </w:t>
      </w:r>
      <w:r>
        <w:rPr>
          <w:iCs/>
          <w:i/>
        </w:rPr>
        <w:t xml:space="preserve">falciparum</w:t>
      </w:r>
      <w:r>
        <w:t xml:space="preserve"> </w:t>
      </w:r>
      <w:r>
        <w:t xml:space="preserve">malaria resistance</w:t>
      </w:r>
    </w:p>
    <w:p>
      <w:pPr>
        <w:numPr>
          <w:ilvl w:val="0"/>
          <w:numId w:val="1017"/>
        </w:numPr>
        <w:pStyle w:val="Compact"/>
      </w:pPr>
      <w:r>
        <w:t xml:space="preserve">geographic patterns;</w:t>
      </w:r>
      <w:r>
        <w:br/>
      </w:r>
      <w:r>
        <w:t xml:space="preserve">consistency with malaria distribution</w:t>
      </w:r>
      <w:r>
        <w:t xml:space="preserve"> </w:t>
      </w:r>
      <w:r>
        <w:t xml:space="preserve">Esoh and Wonkam (2021)</w:t>
      </w:r>
    </w:p>
    <w:p>
      <w:pPr>
        <w:numPr>
          <w:ilvl w:val="0"/>
          <w:numId w:val="1017"/>
        </w:numPr>
        <w:pStyle w:val="Compact"/>
      </w:pPr>
      <w:r>
        <w:t xml:space="preserve">mechanistic basis for protection</w:t>
      </w:r>
    </w:p>
    <w:p>
      <w:pPr>
        <w:numPr>
          <w:ilvl w:val="0"/>
          <w:numId w:val="1017"/>
        </w:numPr>
        <w:pStyle w:val="Compact"/>
      </w:pPr>
      <w:r>
        <w:t xml:space="preserve">evidence for positive selection (age??)</w:t>
      </w:r>
    </w:p>
    <w:p>
      <w:pPr>
        <w:pStyle w:val="FirstParagraph"/>
      </w:pPr>
      <w:r>
        <w:drawing>
          <wp:inline>
            <wp:extent cx="5334000" cy="6384324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../pix/piel_sickle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84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5" w:name="balanced-polymorphisms"/>
    <w:p>
      <w:pPr>
        <w:pStyle w:val="Heading2"/>
      </w:pPr>
      <w:r>
        <w:t xml:space="preserve">Balanced polymorphisms</w:t>
      </w:r>
    </w:p>
    <w:p>
      <w:pPr>
        <w:numPr>
          <w:ilvl w:val="0"/>
          <w:numId w:val="1018"/>
        </w:numPr>
        <w:pStyle w:val="Compact"/>
      </w:pPr>
      <w:r>
        <w:t xml:space="preserve">Sickle-cell (and all cases of overdominance) depends on genetic makeup of the</w:t>
      </w:r>
      <w:r>
        <w:t xml:space="preserve"> </w:t>
      </w:r>
      <w:r>
        <w:rPr>
          <w:iCs/>
          <w:i/>
        </w:rPr>
        <w:t xml:space="preserve">population</w:t>
      </w:r>
    </w:p>
    <w:p>
      <w:pPr>
        <w:numPr>
          <w:ilvl w:val="0"/>
          <w:numId w:val="1018"/>
        </w:numPr>
        <w:pStyle w:val="Compact"/>
      </w:pPr>
      <w:r>
        <w:t xml:space="preserve">chance of mating with a carrier is higher when allele is more common</w:t>
      </w:r>
    </w:p>
    <w:p>
      <w:pPr>
        <w:numPr>
          <w:ilvl w:val="0"/>
          <w:numId w:val="1018"/>
        </w:numPr>
        <w:pStyle w:val="Compact"/>
      </w:pPr>
      <w:r>
        <w:t xml:space="preserve">easier to do the math at the level of alleles</w:t>
      </w:r>
    </w:p>
    <w:bookmarkEnd w:id="45"/>
    <w:bookmarkStart w:id="49" w:name="selective-sweeps"/>
    <w:p>
      <w:pPr>
        <w:pStyle w:val="Heading2"/>
      </w:pPr>
      <w:r>
        <w:t xml:space="preserve">Selective sweeps</w:t>
      </w:r>
    </w:p>
    <w:p>
      <w:pPr>
        <w:numPr>
          <w:ilvl w:val="0"/>
          <w:numId w:val="1019"/>
        </w:numPr>
        <w:pStyle w:val="Compact"/>
      </w:pPr>
      <w:r>
        <w:t xml:space="preserve">strong selection on an allele</w:t>
      </w:r>
    </w:p>
    <w:p>
      <w:pPr>
        <w:numPr>
          <w:ilvl w:val="0"/>
          <w:numId w:val="1019"/>
        </w:numPr>
        <w:pStyle w:val="Compact"/>
      </w:pPr>
      <w:r>
        <w:t xml:space="preserve">individuals carrying that allele have high fitness</w:t>
      </w:r>
    </w:p>
    <w:p>
      <w:pPr>
        <w:numPr>
          <w:ilvl w:val="0"/>
          <w:numId w:val="1019"/>
        </w:numPr>
        <w:pStyle w:val="Compact"/>
      </w:pPr>
      <w:r>
        <w:t xml:space="preserve">lower (gene-specific)</w:t>
      </w:r>
      <w:r>
        <w:t xml:space="preserve"> </w:t>
      </w:r>
      <w:r>
        <w:rPr>
          <w:bCs/>
          <w:b/>
        </w:rPr>
        <w:t xml:space="preserve">effective population size</w:t>
      </w:r>
    </w:p>
    <w:p>
      <w:pPr>
        <w:numPr>
          <w:ilvl w:val="0"/>
          <w:numId w:val="1019"/>
        </w:numPr>
        <w:pStyle w:val="Compact"/>
      </w:pPr>
      <w:r>
        <w:t xml:space="preserve">neighbouring loci carried along as</w:t>
      </w:r>
      <w:r>
        <w:t xml:space="preserve"> </w:t>
      </w:r>
      <w:r>
        <w:rPr>
          <w:bCs/>
          <w:b/>
        </w:rPr>
        <w:t xml:space="preserve">haplotypes</w:t>
      </w:r>
      <w:r>
        <w:t xml:space="preserve">:</w:t>
      </w:r>
      <w:r>
        <w:t xml:space="preserve"> </w:t>
      </w:r>
      <w:r>
        <w:rPr>
          <w:bCs/>
          <w:b/>
        </w:rPr>
        <w:t xml:space="preserve">hitchhiking</w:t>
      </w:r>
    </w:p>
    <w:p>
      <w:pPr>
        <w:numPr>
          <w:ilvl w:val="0"/>
          <w:numId w:val="1019"/>
        </w:numPr>
        <w:pStyle w:val="Compact"/>
      </w:pPr>
      <w:r>
        <w:t xml:space="preserve">haplotypes gradually erode (narrow) by recombination</w:t>
      </w:r>
    </w:p>
    <w:p>
      <w:pPr>
        <w:numPr>
          <w:ilvl w:val="0"/>
          <w:numId w:val="1019"/>
        </w:numPr>
        <w:pStyle w:val="Compact"/>
      </w:pPr>
      <w:r>
        <w:t xml:space="preserve">e.g. MHC class I variability in chimpanzees decreased ~ 2-3 mya</w:t>
      </w:r>
      <w:r>
        <w:t xml:space="preserve"> </w:t>
      </w:r>
      <w:r>
        <w:t xml:space="preserve">(Groot et al. 2002)</w:t>
      </w:r>
    </w:p>
    <w:p>
      <w:pPr>
        <w:pStyle w:val="FirstParagraph"/>
      </w:pPr>
      <w:r>
        <w:drawing>
          <wp:inline>
            <wp:extent cx="4254500" cy="22098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pix/schaffner_positiveselection-f1_mid_1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3" w:name="selective-sweep-chromosome-pattern"/>
    <w:p>
      <w:pPr>
        <w:pStyle w:val="Heading2"/>
      </w:pPr>
      <w:r>
        <w:t xml:space="preserve">Selective sweep: chromosome pattern</w:t>
      </w:r>
    </w:p>
    <w:p>
      <w:pPr>
        <w:pStyle w:val="FirstParagraph"/>
      </w:pPr>
      <w:r>
        <w:drawing>
          <wp:inline>
            <wp:extent cx="5334000" cy="3321627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pix/malaria_swee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1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(Nair et al. 2003)</w:t>
      </w:r>
    </w:p>
    <w:bookmarkEnd w:id="53"/>
    <w:bookmarkStart w:id="58" w:name="other-malaria-protective-variation"/>
    <w:p>
      <w:pPr>
        <w:pStyle w:val="Heading2"/>
      </w:pPr>
      <w:r>
        <w:t xml:space="preserve">Other malaria-protective variation</w:t>
      </w:r>
    </w:p>
    <w:p>
      <w:pPr>
        <w:numPr>
          <w:ilvl w:val="0"/>
          <w:numId w:val="1020"/>
        </w:numPr>
        <w:pStyle w:val="Compact"/>
      </w:pPr>
      <w:r>
        <w:t xml:space="preserve">hemoglobin variants:</w:t>
      </w:r>
    </w:p>
    <w:p>
      <w:pPr>
        <w:numPr>
          <w:ilvl w:val="1"/>
          <w:numId w:val="1021"/>
        </w:numPr>
        <w:pStyle w:val="Compact"/>
      </w:pPr>
      <w:r>
        <w:t xml:space="preserve">blood groups, Rh-negativity</w:t>
      </w:r>
      <w:r>
        <w:br/>
      </w:r>
      <w:r>
        <w:t xml:space="preserve">(older than malaria)</w:t>
      </w:r>
    </w:p>
    <w:p>
      <w:pPr>
        <w:numPr>
          <w:ilvl w:val="1"/>
          <w:numId w:val="1021"/>
        </w:numPr>
        <w:pStyle w:val="Compact"/>
      </w:pPr>
      <w:r>
        <w:t xml:space="preserve">thalassemia</w:t>
      </w:r>
    </w:p>
    <w:p>
      <w:pPr>
        <w:numPr>
          <w:ilvl w:val="0"/>
          <w:numId w:val="1020"/>
        </w:numPr>
        <w:pStyle w:val="Compact"/>
      </w:pPr>
      <w:r>
        <w:t xml:space="preserve">enzyme variants:</w:t>
      </w:r>
    </w:p>
    <w:p>
      <w:pPr>
        <w:numPr>
          <w:ilvl w:val="1"/>
          <w:numId w:val="1022"/>
        </w:numPr>
        <w:pStyle w:val="Compact"/>
      </w:pPr>
      <w:r>
        <w:t xml:space="preserve">GP6D deficiency/favism</w:t>
      </w:r>
    </w:p>
    <w:p>
      <w:pPr>
        <w:numPr>
          <w:ilvl w:val="2"/>
          <w:numId w:val="1023"/>
        </w:numPr>
        <w:pStyle w:val="Compact"/>
      </w:pPr>
      <w:r>
        <w:t xml:space="preserve">Mediterranean populations</w:t>
      </w:r>
    </w:p>
    <w:p>
      <w:pPr>
        <w:numPr>
          <w:ilvl w:val="2"/>
          <w:numId w:val="1023"/>
        </w:numPr>
        <w:pStyle w:val="Compact"/>
      </w:pPr>
      <w:r>
        <w:t xml:space="preserve">X-linked</w:t>
      </w:r>
    </w:p>
    <w:p>
      <w:pPr>
        <w:numPr>
          <w:ilvl w:val="2"/>
          <w:numId w:val="1023"/>
        </w:numPr>
        <w:pStyle w:val="Compact"/>
      </w:pPr>
      <w:r>
        <w:t xml:space="preserve">arose 5-10K years ago: agriculture?</w:t>
      </w:r>
    </w:p>
    <w:p>
      <w:pPr>
        <w:numPr>
          <w:ilvl w:val="0"/>
          <w:numId w:val="1020"/>
        </w:numPr>
        <w:pStyle w:val="Compact"/>
      </w:pPr>
      <w:r>
        <w:t xml:space="preserve">Duffy antigens (protection against</w:t>
      </w:r>
      <w:r>
        <w:t xml:space="preserve"> </w:t>
      </w:r>
      <w:r>
        <w:rPr>
          <w:iCs/>
          <w:i/>
        </w:rPr>
        <w:t xml:space="preserve">vivax</w:t>
      </w:r>
      <w:r>
        <w:t xml:space="preserve"> </w:t>
      </w:r>
      <w:r>
        <w:t xml:space="preserve">malaria)</w:t>
      </w:r>
    </w:p>
    <w:p>
      <w:pPr>
        <w:pStyle w:val="FirstParagraph"/>
      </w:pPr>
      <w:r>
        <w:drawing>
          <wp:inline>
            <wp:extent cx="5334000" cy="3181631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pix/malaria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57">
        <w:r>
          <w:rPr>
            <w:rStyle w:val="Hyperlink"/>
          </w:rPr>
          <w:t xml:space="preserve">Wikipedia</w:t>
        </w:r>
      </w:hyperlink>
    </w:p>
    <w:bookmarkEnd w:id="58"/>
    <w:bookmarkStart w:id="59" w:name="cystic-fibrosis"/>
    <w:p>
      <w:pPr>
        <w:pStyle w:val="Heading2"/>
      </w:pPr>
      <w:r>
        <w:t xml:space="preserve">Cystic fibrosis</w:t>
      </w:r>
    </w:p>
    <w:p>
      <w:pPr>
        <w:numPr>
          <w:ilvl w:val="0"/>
          <w:numId w:val="1024"/>
        </w:numPr>
        <w:pStyle w:val="Compact"/>
      </w:pPr>
      <w:r>
        <w:t xml:space="preserve">Lethal lung disease: mucus build-up</w:t>
      </w:r>
      <w:r>
        <w:br/>
      </w:r>
      <w:r>
        <w:t xml:space="preserve">(1/4 chance of death before 30, previously much higher)</w:t>
      </w:r>
    </w:p>
    <w:p>
      <w:pPr>
        <w:numPr>
          <w:ilvl w:val="0"/>
          <w:numId w:val="1024"/>
        </w:numPr>
        <w:pStyle w:val="Compact"/>
      </w:pPr>
      <w:r>
        <w:t xml:space="preserve">4% carriers in European whites (1/2500 diseased:</w:t>
      </w:r>
      <w:r>
        <w:t xml:space="preserve"> </w:t>
      </w:r>
      <m:oMath>
        <m:r>
          <m:t>2</m:t>
        </m:r>
        <m:r>
          <m:t>p</m:t>
        </m:r>
        <m:r>
          <m:t>q</m:t>
        </m:r>
        <m:r>
          <m:rPr>
            <m:sty m:val="p"/>
          </m:rPr>
          <m:t>=</m:t>
        </m:r>
        <m:r>
          <m:t>0.04</m:t>
        </m:r>
        <m:r>
          <m:rPr>
            <m:sty m:val="p"/>
          </m:rPr>
          <m:t>→</m:t>
        </m:r>
        <m:sSup>
          <m:e>
            <m:r>
              <m:t>q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0.0004</m:t>
        </m:r>
      </m:oMath>
      <w:r>
        <w:t xml:space="preserve">)</w:t>
      </w:r>
    </w:p>
    <w:p>
      <w:pPr>
        <w:numPr>
          <w:ilvl w:val="0"/>
          <w:numId w:val="1024"/>
        </w:numPr>
        <w:pStyle w:val="Compact"/>
      </w:pPr>
      <w:r>
        <w:t xml:space="preserve">Mutated cftr gene, changes chloride metabolism;</w:t>
      </w:r>
      <w:r>
        <w:br/>
      </w:r>
      <w:r>
        <w:t xml:space="preserve">age approx. 50 KYA</w:t>
      </w:r>
    </w:p>
    <w:p>
      <w:pPr>
        <w:numPr>
          <w:ilvl w:val="0"/>
          <w:numId w:val="1024"/>
        </w:numPr>
        <w:pStyle w:val="Compact"/>
      </w:pPr>
      <w:r>
        <w:t xml:space="preserve">Protection from cholera? (First European cholera epidemic 1817) Dehydrating intestinal diseases? Typhoid?</w:t>
      </w:r>
    </w:p>
    <w:p>
      <w:pPr>
        <w:numPr>
          <w:ilvl w:val="0"/>
          <w:numId w:val="1024"/>
        </w:numPr>
        <w:pStyle w:val="Compact"/>
      </w:pPr>
      <w:r>
        <w:rPr>
          <w:bCs/>
          <w:b/>
        </w:rPr>
        <w:t xml:space="preserve">Pleiotropy</w:t>
      </w:r>
      <w:r>
        <w:t xml:space="preserve"> </w:t>
      </w:r>
      <w:r>
        <w:t xml:space="preserve">(multiple effects from one gene)</w:t>
      </w:r>
    </w:p>
    <w:bookmarkEnd w:id="59"/>
    <w:bookmarkStart w:id="63" w:name="hiv"/>
    <w:p>
      <w:pPr>
        <w:pStyle w:val="Heading2"/>
      </w:pPr>
      <w:r>
        <w:t xml:space="preserve">HIV</w:t>
      </w:r>
    </w:p>
    <w:p>
      <w:pPr>
        <w:pStyle w:val="FirstParagraph"/>
      </w:pPr>
      <w:r>
        <w:t xml:space="preserve">From</w:t>
      </w:r>
      <w:r>
        <w:t xml:space="preserve"> </w:t>
      </w:r>
      <w:r>
        <w:t xml:space="preserve">Galvani and Novembre (2005)</w:t>
      </w:r>
      <w:r>
        <w:t xml:space="preserve">:</w:t>
      </w:r>
    </w:p>
    <w:p>
      <w:pPr>
        <w:pStyle w:val="BodyText"/>
      </w:pPr>
      <w:r>
        <w:drawing>
          <wp:inline>
            <wp:extent cx="4953000" cy="54102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pix/ccr_dis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25"/>
        </w:numPr>
        <w:pStyle w:val="Compact"/>
      </w:pPr>
      <w:r>
        <w:t xml:space="preserve">where does CCR5-</w:t>
      </w:r>
      <m:oMath>
        <m:r>
          <m:t>Δ</m:t>
        </m:r>
        <m:r>
          <m:t>32</m:t>
        </m:r>
      </m:oMath>
      <w:r>
        <w:t xml:space="preserve"> </w:t>
      </w:r>
      <w:r>
        <w:t xml:space="preserve">come from?</w:t>
      </w:r>
    </w:p>
    <w:p>
      <w:pPr>
        <w:numPr>
          <w:ilvl w:val="0"/>
          <w:numId w:val="1025"/>
        </w:numPr>
        <w:pStyle w:val="Compact"/>
      </w:pPr>
      <w:r>
        <w:t xml:space="preserve">homozygous individuals are healthy …</w:t>
      </w:r>
    </w:p>
    <w:p>
      <w:pPr>
        <w:numPr>
          <w:ilvl w:val="0"/>
          <w:numId w:val="1025"/>
        </w:numPr>
        <w:pStyle w:val="Compact"/>
      </w:pPr>
      <w:r>
        <w:t xml:space="preserve">at least 5000 years old;</w:t>
      </w:r>
      <w:r>
        <w:t xml:space="preserve"> </w:t>
      </w:r>
      <w:r>
        <w:t xml:space="preserve">Hummel et al. (2005)</w:t>
      </w:r>
      <w:r>
        <w:t xml:space="preserve">;</w:t>
      </w:r>
      <w:r>
        <w:t xml:space="preserve"> </w:t>
      </w:r>
      <w:r>
        <w:t xml:space="preserve">Novembre, Galvani, and Slatkin (2005)</w:t>
      </w:r>
      <w:r>
        <w:t xml:space="preserve">;</w:t>
      </w:r>
      <w:r>
        <w:t xml:space="preserve"> </w:t>
      </w:r>
      <w:r>
        <w:t xml:space="preserve">Galvani and Novembre (2005)</w:t>
      </w:r>
      <w:r>
        <w:t xml:space="preserve">;</w:t>
      </w:r>
      <w:r>
        <w:t xml:space="preserve"> </w:t>
      </w:r>
      <w:r>
        <w:t xml:space="preserve">Lidén, Linderholm, and Götherström (2006)</w:t>
      </w:r>
    </w:p>
    <w:p>
      <w:pPr>
        <w:numPr>
          <w:ilvl w:val="1"/>
          <w:numId w:val="1026"/>
        </w:numPr>
        <w:pStyle w:val="Compact"/>
      </w:pPr>
      <w:r>
        <w:t xml:space="preserve">“</w:t>
      </w:r>
      <w:r>
        <w:t xml:space="preserve">If</w:t>
      </w:r>
      <w:r>
        <w:t xml:space="preserve"> </w:t>
      </w:r>
      <m:oMath>
        <m:r>
          <m:t>Δ</m:t>
        </m:r>
        <m:r>
          <m:t>32</m:t>
        </m:r>
      </m:oMath>
      <w:r>
        <w:t xml:space="preserve"> </w:t>
      </w:r>
      <w:r>
        <w:t xml:space="preserve">were neutral, population genetics theory predicts it would have to be much older given its frequency.</w:t>
      </w:r>
      <w:r>
        <w:t xml:space="preserve">”</w:t>
      </w:r>
    </w:p>
    <w:p>
      <w:pPr>
        <w:numPr>
          <w:ilvl w:val="0"/>
          <w:numId w:val="1025"/>
        </w:numPr>
        <w:pStyle w:val="Compact"/>
      </w:pPr>
      <w:r>
        <w:t xml:space="preserve">high dispersal, sustained strong selection (</w:t>
      </w:r>
      <m:oMath>
        <m:r>
          <m:t>s</m:t>
        </m:r>
        <m:r>
          <m:rPr>
            <m:sty m:val="p"/>
          </m:rPr>
          <m:t>&gt;</m:t>
        </m:r>
        <m:r>
          <m:t>0.1</m:t>
        </m:r>
      </m:oMath>
      <w:r>
        <w:t xml:space="preserve">); what selective agent? plague? smallpox?</w:t>
      </w:r>
    </w:p>
    <w:bookmarkEnd w:id="63"/>
    <w:bookmarkStart w:id="64" w:name="summary-variation-in-mendelian-traits"/>
    <w:p>
      <w:pPr>
        <w:pStyle w:val="Heading2"/>
      </w:pPr>
      <w:r>
        <w:t xml:space="preserve">Summary: variation in Mendelian traits</w:t>
      </w:r>
    </w:p>
    <w:p>
      <w:pPr>
        <w:numPr>
          <w:ilvl w:val="0"/>
          <w:numId w:val="1027"/>
        </w:numPr>
        <w:pStyle w:val="Compact"/>
      </w:pPr>
      <w:r>
        <w:t xml:space="preserve">(relatively) simple inheritance</w:t>
      </w:r>
    </w:p>
    <w:p>
      <w:pPr>
        <w:numPr>
          <w:ilvl w:val="1"/>
          <w:numId w:val="1028"/>
        </w:numPr>
        <w:pStyle w:val="Compact"/>
      </w:pPr>
      <w:r>
        <w:t xml:space="preserve">recessive/dominant, autosomal/X/Y-linked</w:t>
      </w:r>
    </w:p>
    <w:p>
      <w:pPr>
        <w:numPr>
          <w:ilvl w:val="0"/>
          <w:numId w:val="1027"/>
        </w:numPr>
        <w:pStyle w:val="Compact"/>
      </w:pPr>
      <w:r>
        <w:t xml:space="preserve">mechanisms</w:t>
      </w:r>
    </w:p>
    <w:p>
      <w:pPr>
        <w:numPr>
          <w:ilvl w:val="1"/>
          <w:numId w:val="1029"/>
        </w:numPr>
        <w:pStyle w:val="Compact"/>
      </w:pPr>
      <w:r>
        <w:t xml:space="preserve">drift</w:t>
      </w:r>
    </w:p>
    <w:p>
      <w:pPr>
        <w:numPr>
          <w:ilvl w:val="1"/>
          <w:numId w:val="1029"/>
        </w:numPr>
        <w:pStyle w:val="Compact"/>
      </w:pPr>
      <w:r>
        <w:t xml:space="preserve">heterozygote advantage</w:t>
      </w:r>
    </w:p>
    <w:p>
      <w:pPr>
        <w:numPr>
          <w:ilvl w:val="1"/>
          <w:numId w:val="1029"/>
        </w:numPr>
        <w:pStyle w:val="Compact"/>
      </w:pPr>
      <w:r>
        <w:t xml:space="preserve">balancing selection/tradeoffs; gene × environment interaction</w:t>
      </w:r>
    </w:p>
    <w:p>
      <w:pPr>
        <w:numPr>
          <w:ilvl w:val="0"/>
          <w:numId w:val="1027"/>
        </w:numPr>
        <w:pStyle w:val="Compact"/>
      </w:pPr>
      <w:r>
        <w:t xml:space="preserve">evidence</w:t>
      </w:r>
    </w:p>
    <w:p>
      <w:pPr>
        <w:numPr>
          <w:ilvl w:val="1"/>
          <w:numId w:val="1030"/>
        </w:numPr>
        <w:pStyle w:val="Compact"/>
      </w:pPr>
      <w:r>
        <w:t xml:space="preserve">ancient DNA</w:t>
      </w:r>
    </w:p>
    <w:p>
      <w:pPr>
        <w:numPr>
          <w:ilvl w:val="1"/>
          <w:numId w:val="1030"/>
        </w:numPr>
        <w:pStyle w:val="Compact"/>
      </w:pPr>
      <w:r>
        <w:t xml:space="preserve">phylogenetic patterns/</w:t>
      </w:r>
      <w:r>
        <w:rPr>
          <w:iCs/>
          <w:i/>
        </w:rPr>
        <w:t xml:space="preserve">coalescent</w:t>
      </w:r>
      <w:r>
        <w:t xml:space="preserve"> </w:t>
      </w:r>
      <w:r>
        <w:t xml:space="preserve">methods to estimate origin times/places</w:t>
      </w:r>
    </w:p>
    <w:p>
      <w:pPr>
        <w:numPr>
          <w:ilvl w:val="1"/>
          <w:numId w:val="1030"/>
        </w:numPr>
        <w:pStyle w:val="Compact"/>
      </w:pPr>
      <w:r>
        <w:t xml:space="preserve">biogeography/history of disease/environment</w:t>
      </w:r>
    </w:p>
    <w:p>
      <w:pPr>
        <w:numPr>
          <w:ilvl w:val="1"/>
          <w:numId w:val="1030"/>
        </w:numPr>
        <w:pStyle w:val="Compact"/>
      </w:pPr>
      <w:r>
        <w:t xml:space="preserve">mechanism</w:t>
      </w:r>
    </w:p>
    <w:p>
      <w:pPr>
        <w:numPr>
          <w:ilvl w:val="1"/>
          <w:numId w:val="1030"/>
        </w:numPr>
        <w:pStyle w:val="Compact"/>
      </w:pPr>
      <w:r>
        <w:t xml:space="preserve">population history</w:t>
      </w:r>
    </w:p>
    <w:bookmarkEnd w:id="64"/>
    <w:bookmarkStart w:id="68" w:name="more-examples"/>
    <w:p>
      <w:pPr>
        <w:pStyle w:val="Heading2"/>
      </w:pPr>
      <w:r>
        <w:t xml:space="preserve">more examples</w:t>
      </w:r>
    </w:p>
    <w:p>
      <w:pPr>
        <w:pStyle w:val="FirstParagraph"/>
      </w:pPr>
      <w:r>
        <w:t xml:space="preserve">Domínguez-Andrés and Netea (2019)</w:t>
      </w:r>
    </w:p>
    <w:p>
      <w:pPr>
        <w:pStyle w:val="BodyText"/>
      </w:pPr>
      <w:r>
        <w:drawing>
          <wp:inline>
            <wp:extent cx="5334000" cy="4940788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pix/variants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0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2" w:name="gwas"/>
    <w:p>
      <w:pPr>
        <w:pStyle w:val="Heading2"/>
      </w:pPr>
      <w:r>
        <w:t xml:space="preserve">GWAS</w:t>
      </w:r>
    </w:p>
    <w:p>
      <w:pPr>
        <w:pStyle w:val="FirstParagraph"/>
      </w:pPr>
      <w:r>
        <w:t xml:space="preserve">Mboowa et al. (2018)</w:t>
      </w:r>
    </w:p>
    <w:p>
      <w:pPr>
        <w:pStyle w:val="BodyText"/>
      </w:pPr>
      <w:r>
        <w:drawing>
          <wp:inline>
            <wp:extent cx="5334000" cy="4940788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pix/gwas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0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123" w:name="references"/>
    <w:p>
      <w:pPr>
        <w:pStyle w:val="Heading2"/>
      </w:pPr>
      <w:r>
        <w:t xml:space="preserve">References</w:t>
      </w:r>
    </w:p>
    <w:bookmarkStart w:id="122" w:name="refs"/>
    <w:bookmarkStart w:id="73" w:name="ref-acevedo-whitehouse_is_2006"/>
    <w:p>
      <w:pPr>
        <w:pStyle w:val="Bibliography"/>
      </w:pPr>
      <w:r>
        <w:t xml:space="preserve">Acevedo-Whitehouse, K., and A. A Cunningham. 2006.</w:t>
      </w:r>
      <w:r>
        <w:t xml:space="preserve"> </w:t>
      </w:r>
      <w:r>
        <w:t xml:space="preserve">“Is</w:t>
      </w:r>
      <w:r>
        <w:t xml:space="preserve"> </w:t>
      </w:r>
      <w:r>
        <w:t xml:space="preserve">MHC</w:t>
      </w:r>
      <w:r>
        <w:t xml:space="preserve"> </w:t>
      </w:r>
      <w:r>
        <w:t xml:space="preserve">Enough for Understanding Wildlife Immunogenetics?”</w:t>
      </w:r>
      <w:r>
        <w:t xml:space="preserve"> </w:t>
      </w:r>
      <w:r>
        <w:rPr>
          <w:iCs/>
          <w:i/>
        </w:rPr>
        <w:t xml:space="preserve">Trends in Ecology &amp; Evolution</w:t>
      </w:r>
      <w:r>
        <w:t xml:space="preserve"> </w:t>
      </w:r>
      <w:r>
        <w:t xml:space="preserve">21 (8): 433–38.</w:t>
      </w:r>
    </w:p>
    <w:bookmarkEnd w:id="73"/>
    <w:bookmarkStart w:id="74" w:name="ref-borghans_mhc_2004"/>
    <w:p>
      <w:pPr>
        <w:pStyle w:val="Bibliography"/>
      </w:pPr>
      <w:r>
        <w:t xml:space="preserve">Borghans, J. A. M, J. B Beltman, and R. J De Boer. 2004.</w:t>
      </w:r>
      <w:r>
        <w:t xml:space="preserve"> </w:t>
      </w:r>
      <w:r>
        <w:t xml:space="preserve">“</w:t>
      </w:r>
      <w:r>
        <w:t xml:space="preserve">MHC</w:t>
      </w:r>
      <w:r>
        <w:t xml:space="preserve"> </w:t>
      </w:r>
      <w:r>
        <w:t xml:space="preserve">Polymorphism Under Host-Pathogen Coevolution.”</w:t>
      </w:r>
      <w:r>
        <w:t xml:space="preserve"> </w:t>
      </w:r>
      <w:r>
        <w:rPr>
          <w:iCs/>
          <w:i/>
        </w:rPr>
        <w:t xml:space="preserve">Immunogenetics</w:t>
      </w:r>
      <w:r>
        <w:t xml:space="preserve"> </w:t>
      </w:r>
      <w:r>
        <w:t xml:space="preserve">55 (11): 732–39.</w:t>
      </w:r>
    </w:p>
    <w:bookmarkEnd w:id="74"/>
    <w:bookmarkStart w:id="76" w:name="ref-dominguez-andresImpact2019"/>
    <w:p>
      <w:pPr>
        <w:pStyle w:val="Bibliography"/>
      </w:pPr>
      <w:r>
        <w:t xml:space="preserve">Domínguez-Andrés, Jorge, and Mihai G. Netea. 2019.</w:t>
      </w:r>
      <w:r>
        <w:t xml:space="preserve"> </w:t>
      </w:r>
      <w:r>
        <w:t xml:space="preserve">“Impact of</w:t>
      </w:r>
      <w:r>
        <w:t xml:space="preserve"> </w:t>
      </w:r>
      <w:r>
        <w:t xml:space="preserve">Historic Migrations</w:t>
      </w:r>
      <w:r>
        <w:t xml:space="preserve"> </w:t>
      </w:r>
      <w:r>
        <w:t xml:space="preserve">and</w:t>
      </w:r>
      <w:r>
        <w:t xml:space="preserve"> </w:t>
      </w:r>
      <w:r>
        <w:t xml:space="preserve">Evolutionary Processes</w:t>
      </w:r>
      <w:r>
        <w:t xml:space="preserve"> </w:t>
      </w:r>
      <w:r>
        <w:t xml:space="preserve">on</w:t>
      </w:r>
      <w:r>
        <w:t xml:space="preserve"> </w:t>
      </w:r>
      <w:r>
        <w:t xml:space="preserve">Human Immunity</w:t>
      </w:r>
      <w:r>
        <w:t xml:space="preserve">.”</w:t>
      </w:r>
      <w:r>
        <w:t xml:space="preserve"> </w:t>
      </w:r>
      <w:r>
        <w:rPr>
          <w:iCs/>
          <w:i/>
        </w:rPr>
        <w:t xml:space="preserve">Trends in Immunology</w:t>
      </w:r>
      <w:r>
        <w:t xml:space="preserve"> </w:t>
      </w:r>
      <w:r>
        <w:t xml:space="preserve">40 (12): 1105–19.</w:t>
      </w:r>
      <w:r>
        <w:t xml:space="preserve"> </w:t>
      </w:r>
      <w:hyperlink r:id="rId75">
        <w:r>
          <w:rPr>
            <w:rStyle w:val="Hyperlink"/>
          </w:rPr>
          <w:t xml:space="preserve">https://doi.org/10.1016/j.it.2019.10.001</w:t>
        </w:r>
      </w:hyperlink>
      <w:r>
        <w:t xml:space="preserve">.</w:t>
      </w:r>
    </w:p>
    <w:bookmarkEnd w:id="76"/>
    <w:bookmarkStart w:id="78" w:name="ref-esohEvolutionary2021"/>
    <w:p>
      <w:pPr>
        <w:pStyle w:val="Bibliography"/>
      </w:pPr>
      <w:r>
        <w:t xml:space="preserve">Esoh, Kevin, and Ambroise Wonkam. 2021.</w:t>
      </w:r>
      <w:r>
        <w:t xml:space="preserve"> </w:t>
      </w:r>
      <w:r>
        <w:t xml:space="preserve">“Evolutionary History of Sickle-Cell Mutation: Implications for Global Genetic Medicine.”</w:t>
      </w:r>
      <w:r>
        <w:t xml:space="preserve"> </w:t>
      </w:r>
      <w:r>
        <w:rPr>
          <w:iCs/>
          <w:i/>
        </w:rPr>
        <w:t xml:space="preserve">Human Molecular Genetics</w:t>
      </w:r>
      <w:r>
        <w:t xml:space="preserve"> </w:t>
      </w:r>
      <w:r>
        <w:t xml:space="preserve">30 (R1): R119–28.</w:t>
      </w:r>
      <w:r>
        <w:t xml:space="preserve"> </w:t>
      </w:r>
      <w:hyperlink r:id="rId77">
        <w:r>
          <w:rPr>
            <w:rStyle w:val="Hyperlink"/>
          </w:rPr>
          <w:t xml:space="preserve">https://doi.org/10.1093/hmg/ddab004</w:t>
        </w:r>
      </w:hyperlink>
      <w:r>
        <w:t xml:space="preserve">.</w:t>
      </w:r>
    </w:p>
    <w:bookmarkEnd w:id="78"/>
    <w:bookmarkStart w:id="80" w:name="ref-frisch_origin_2004"/>
    <w:p>
      <w:pPr>
        <w:pStyle w:val="Bibliography"/>
      </w:pPr>
      <w:r>
        <w:t xml:space="preserve">Frisch, Amos, Roberto Colombo, Elena Michaelovsky, Mazal Karpati, Boleslaw Goldman, and Leah Peleg. 2004.</w:t>
      </w:r>
      <w:r>
        <w:t xml:space="preserve"> </w:t>
      </w:r>
      <w:r>
        <w:t xml:space="preserve">“Origin and Spread of the 1278insTATC Mutation Causing Tay-Sachs Disease in Ashkenazi Jews: Genetic Drift as a Robust and Parsimonious Hypothesis.”</w:t>
      </w:r>
      <w:r>
        <w:t xml:space="preserve"> </w:t>
      </w:r>
      <w:r>
        <w:rPr>
          <w:iCs/>
          <w:i/>
        </w:rPr>
        <w:t xml:space="preserve">Human Genetics</w:t>
      </w:r>
      <w:r>
        <w:t xml:space="preserve"> </w:t>
      </w:r>
      <w:r>
        <w:t xml:space="preserve">114 (4): 366–76.</w:t>
      </w:r>
      <w:r>
        <w:t xml:space="preserve"> </w:t>
      </w:r>
      <w:hyperlink r:id="rId79">
        <w:r>
          <w:rPr>
            <w:rStyle w:val="Hyperlink"/>
          </w:rPr>
          <w:t xml:space="preserve">https://doi.org/10.1007/s00439-003-1072-8</w:t>
        </w:r>
      </w:hyperlink>
      <w:r>
        <w:t xml:space="preserve">.</w:t>
      </w:r>
    </w:p>
    <w:bookmarkEnd w:id="80"/>
    <w:bookmarkStart w:id="82" w:name="ref-frost_taysachs_2012"/>
    <w:p>
      <w:pPr>
        <w:pStyle w:val="Bibliography"/>
      </w:pPr>
      <w:r>
        <w:t xml:space="preserve">Frost, Peter. 2012.</w:t>
      </w:r>
      <w:r>
        <w:t xml:space="preserve"> </w:t>
      </w:r>
      <w:r>
        <w:t xml:space="preserve">“Tay-Sachs and French Canadians: A Case of Gene-Culture Co-Evolution?”</w:t>
      </w:r>
      <w:r>
        <w:t xml:space="preserve"> </w:t>
      </w:r>
      <w:r>
        <w:rPr>
          <w:iCs/>
          <w:i/>
        </w:rPr>
        <w:t xml:space="preserve">Advances in Anthropology</w:t>
      </w:r>
      <w:r>
        <w:t xml:space="preserve"> </w:t>
      </w:r>
      <w:r>
        <w:t xml:space="preserve">02 (03): 132–38.</w:t>
      </w:r>
      <w:r>
        <w:t xml:space="preserve"> </w:t>
      </w:r>
      <w:hyperlink r:id="rId81">
        <w:r>
          <w:rPr>
            <w:rStyle w:val="Hyperlink"/>
          </w:rPr>
          <w:t xml:space="preserve">https://doi.org/10.4236/aa.2012.23016</w:t>
        </w:r>
      </w:hyperlink>
      <w:r>
        <w:t xml:space="preserve">.</w:t>
      </w:r>
    </w:p>
    <w:bookmarkEnd w:id="82"/>
    <w:bookmarkStart w:id="84" w:name="ref-galvani_evolutionary_2005"/>
    <w:p>
      <w:pPr>
        <w:pStyle w:val="Bibliography"/>
      </w:pPr>
      <w:r>
        <w:t xml:space="preserve">Galvani, Alison P., and John Novembre. 2005.</w:t>
      </w:r>
      <w:r>
        <w:t xml:space="preserve"> </w:t>
      </w:r>
      <w:r>
        <w:t xml:space="preserve">“The Evolutionary History of the</w:t>
      </w:r>
      <w:r>
        <w:t xml:space="preserve"> </w:t>
      </w:r>
      <w:r>
        <w:t xml:space="preserve">CCR5</w:t>
      </w:r>
      <w:r>
        <w:t xml:space="preserve">-</w:t>
      </w:r>
      <m:oMath>
        <m:r>
          <m:t>Δ</m:t>
        </m:r>
        <m:r>
          <m:t>32</m:t>
        </m:r>
      </m:oMath>
      <w:r>
        <w:t xml:space="preserve"> </w:t>
      </w:r>
      <w:r>
        <w:t xml:space="preserve">HIV</w:t>
      </w:r>
      <w:r>
        <w:t xml:space="preserve">-Resistance Mutation.”</w:t>
      </w:r>
      <w:r>
        <w:t xml:space="preserve"> </w:t>
      </w:r>
      <w:r>
        <w:rPr>
          <w:iCs/>
          <w:i/>
        </w:rPr>
        <w:t xml:space="preserve">Microbes and Infection</w:t>
      </w:r>
      <w:r>
        <w:t xml:space="preserve"> </w:t>
      </w:r>
      <w:r>
        <w:t xml:space="preserve">7 (2): 302–9.</w:t>
      </w:r>
      <w:r>
        <w:t xml:space="preserve"> </w:t>
      </w:r>
      <w:hyperlink r:id="rId83">
        <w:r>
          <w:rPr>
            <w:rStyle w:val="Hyperlink"/>
          </w:rPr>
          <w:t xml:space="preserve">https://doi.org/10.1016/j.micinf.2004.12.006</w:t>
        </w:r>
      </w:hyperlink>
      <w:r>
        <w:t xml:space="preserve">.</w:t>
      </w:r>
    </w:p>
    <w:bookmarkEnd w:id="84"/>
    <w:bookmarkStart w:id="86" w:name="ref-de_groot_evidence_2002"/>
    <w:p>
      <w:pPr>
        <w:pStyle w:val="Bibliography"/>
      </w:pPr>
      <w:r>
        <w:t xml:space="preserve">Groot, Natasja G. de, Nel Otting, Gaby G. M. Doxiadis, Sunita S. Balla-Jhagjhoorsingh, Jonathan L. Heeney, Jon J. van Rood, Pascal Gagneux, and Ronald E. Bontrop. 2002.</w:t>
      </w:r>
      <w:r>
        <w:t xml:space="preserve"> </w:t>
      </w:r>
      <w:r>
        <w:t xml:space="preserve">“Evidence for an Ancient Selective Sweep in the</w:t>
      </w:r>
      <w:r>
        <w:t xml:space="preserve"> </w:t>
      </w:r>
      <w:r>
        <w:t xml:space="preserve">MHC</w:t>
      </w:r>
      <w:r>
        <w:t xml:space="preserve"> </w:t>
      </w:r>
      <w:r>
        <w:t xml:space="preserve">Class</w:t>
      </w:r>
      <w:r>
        <w:t xml:space="preserve"> </w:t>
      </w:r>
      <w:r>
        <w:t xml:space="preserve">I</w:t>
      </w:r>
      <w:r>
        <w:t xml:space="preserve"> </w:t>
      </w:r>
      <w:r>
        <w:t xml:space="preserve">Gene Repertoire of Chimpanzees.”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 </w:t>
      </w:r>
      <w:r>
        <w:t xml:space="preserve">99 (18): 11748–53.</w:t>
      </w:r>
      <w:r>
        <w:t xml:space="preserve"> </w:t>
      </w:r>
      <w:hyperlink r:id="rId85">
        <w:r>
          <w:rPr>
            <w:rStyle w:val="Hyperlink"/>
          </w:rPr>
          <w:t xml:space="preserve">https://doi.org/10.1073/pnas.182420799</w:t>
        </w:r>
      </w:hyperlink>
      <w:r>
        <w:t xml:space="preserve">.</w:t>
      </w:r>
    </w:p>
    <w:bookmarkEnd w:id="86"/>
    <w:bookmarkStart w:id="88" w:name="ref-hillert_genetic_2020"/>
    <w:p>
      <w:pPr>
        <w:pStyle w:val="Bibliography"/>
      </w:pPr>
      <w:r>
        <w:t xml:space="preserve">Hillert, Alicia, Yair Anikster, Amaya Belanger-Quintana, Alberto Burlina, Barbara K. Burton, Carla Carducci, Ana E. Chiesa, et al. 2020.</w:t>
      </w:r>
      <w:r>
        <w:t xml:space="preserve"> </w:t>
      </w:r>
      <w:r>
        <w:t xml:space="preserve">“The</w:t>
      </w:r>
      <w:r>
        <w:t xml:space="preserve"> </w:t>
      </w:r>
      <w:r>
        <w:t xml:space="preserve">Genetic</w:t>
      </w:r>
      <w:r>
        <w:t xml:space="preserve"> </w:t>
      </w:r>
      <w:r>
        <w:t xml:space="preserve">Landscape</w:t>
      </w:r>
      <w:r>
        <w:t xml:space="preserve"> </w:t>
      </w:r>
      <w:r>
        <w:t xml:space="preserve">and</w:t>
      </w:r>
      <w:r>
        <w:t xml:space="preserve"> </w:t>
      </w:r>
      <w:r>
        <w:t xml:space="preserve">Epidemiology</w:t>
      </w:r>
      <w:r>
        <w:t xml:space="preserve"> </w:t>
      </w:r>
      <w:r>
        <w:t xml:space="preserve">of</w:t>
      </w:r>
      <w:r>
        <w:t xml:space="preserve"> </w:t>
      </w:r>
      <w:r>
        <w:t xml:space="preserve">Phenylketonuria</w:t>
      </w:r>
      <w:r>
        <w:t xml:space="preserve">.”</w:t>
      </w:r>
      <w:r>
        <w:t xml:space="preserve"> </w:t>
      </w:r>
      <w:r>
        <w:rPr>
          <w:iCs/>
          <w:i/>
        </w:rPr>
        <w:t xml:space="preserve">The American Journal of Human Genetics</w:t>
      </w:r>
      <w:r>
        <w:t xml:space="preserve"> </w:t>
      </w:r>
      <w:r>
        <w:t xml:space="preserve">107 (2): 234–50.</w:t>
      </w:r>
      <w:r>
        <w:t xml:space="preserve"> </w:t>
      </w:r>
      <w:hyperlink r:id="rId87">
        <w:r>
          <w:rPr>
            <w:rStyle w:val="Hyperlink"/>
          </w:rPr>
          <w:t xml:space="preserve">https://doi.org/10.1016/j.ajhg.2020.06.006</w:t>
        </w:r>
      </w:hyperlink>
      <w:r>
        <w:t xml:space="preserve">.</w:t>
      </w:r>
    </w:p>
    <w:bookmarkEnd w:id="88"/>
    <w:bookmarkStart w:id="90" w:name="ref-hummel_detection_2005"/>
    <w:p>
      <w:pPr>
        <w:pStyle w:val="Bibliography"/>
      </w:pPr>
      <w:r>
        <w:t xml:space="preserve">Hummel, S., D. Schmidt, B. Kremeyer, B. Herrmann, and M. Oppermann. 2005.</w:t>
      </w:r>
      <w:r>
        <w:t xml:space="preserve"> </w:t>
      </w:r>
      <w:r>
        <w:t xml:space="preserve">“Detection of the</w:t>
      </w:r>
      <w:r>
        <w:t xml:space="preserve"> </w:t>
      </w:r>
      <w:r>
        <w:t xml:space="preserve">CCR5</w:t>
      </w:r>
      <w:r>
        <w:t xml:space="preserve">-</w:t>
      </w:r>
      <m:oMath>
        <m:r>
          <m:t>Δ</m:t>
        </m:r>
        <m:r>
          <m:t>32</m:t>
        </m:r>
      </m:oMath>
      <w:r>
        <w:t xml:space="preserve"> </w:t>
      </w:r>
      <w:r>
        <w:t xml:space="preserve">HIV</w:t>
      </w:r>
      <w:r>
        <w:t xml:space="preserve"> </w:t>
      </w:r>
      <w:r>
        <w:t xml:space="preserve">Resistance Gene in</w:t>
      </w:r>
      <w:r>
        <w:t xml:space="preserve"> </w:t>
      </w:r>
      <w:r>
        <w:t xml:space="preserve">Bronze</w:t>
      </w:r>
      <w:r>
        <w:t xml:space="preserve"> </w:t>
      </w:r>
      <w:r>
        <w:t xml:space="preserve">Age</w:t>
      </w:r>
      <w:r>
        <w:t xml:space="preserve"> </w:t>
      </w:r>
      <w:r>
        <w:t xml:space="preserve">Skeletons.”</w:t>
      </w:r>
      <w:r>
        <w:t xml:space="preserve"> </w:t>
      </w:r>
      <w:r>
        <w:rPr>
          <w:iCs/>
          <w:i/>
        </w:rPr>
        <w:t xml:space="preserve">Genes &amp; Immunity</w:t>
      </w:r>
      <w:r>
        <w:t xml:space="preserve"> </w:t>
      </w:r>
      <w:r>
        <w:t xml:space="preserve">6 (4): 371–74.</w:t>
      </w:r>
      <w:r>
        <w:t xml:space="preserve"> </w:t>
      </w:r>
      <w:hyperlink r:id="rId89">
        <w:r>
          <w:rPr>
            <w:rStyle w:val="Hyperlink"/>
          </w:rPr>
          <w:t xml:space="preserve">https://doi.org/10.1038/sj.gene.6364172</w:t>
        </w:r>
      </w:hyperlink>
      <w:r>
        <w:t xml:space="preserve">.</w:t>
      </w:r>
    </w:p>
    <w:bookmarkEnd w:id="90"/>
    <w:bookmarkStart w:id="92" w:name="ref-klemme_negative_2020"/>
    <w:p>
      <w:pPr>
        <w:pStyle w:val="Bibliography"/>
      </w:pPr>
      <w:r>
        <w:t xml:space="preserve">Klemme, Ines, Pekka Hyvärinen, and Anssi Karvonen. 2020.</w:t>
      </w:r>
      <w:r>
        <w:t xml:space="preserve"> </w:t>
      </w:r>
      <w:r>
        <w:t xml:space="preserve">“Negative Associations Between Parasite Avoidance, Resistance and Tolerance Predict Host Health in Salmonid Fish Populations.”</w:t>
      </w:r>
      <w:r>
        <w:t xml:space="preserve"> </w:t>
      </w:r>
      <w:r>
        <w:rPr>
          <w:iCs/>
          <w:i/>
        </w:rPr>
        <w:t xml:space="preserve">Proceedings of the Royal Society B: Biological Sciences</w:t>
      </w:r>
      <w:r>
        <w:t xml:space="preserve"> </w:t>
      </w:r>
      <w:r>
        <w:t xml:space="preserve">287 (1925): 20200388.</w:t>
      </w:r>
      <w:r>
        <w:t xml:space="preserve"> </w:t>
      </w:r>
      <w:hyperlink r:id="rId91">
        <w:r>
          <w:rPr>
            <w:rStyle w:val="Hyperlink"/>
          </w:rPr>
          <w:t xml:space="preserve">https://doi.org/10.1098/rspb.2020.0388</w:t>
        </w:r>
      </w:hyperlink>
      <w:r>
        <w:t xml:space="preserve">.</w:t>
      </w:r>
    </w:p>
    <w:bookmarkEnd w:id="92"/>
    <w:bookmarkStart w:id="94" w:name="ref-krawczak_role_2003"/>
    <w:p>
      <w:pPr>
        <w:pStyle w:val="Bibliography"/>
      </w:pPr>
      <w:r>
        <w:t xml:space="preserve">Krawczak, Michael, and Johannes Zschocke. 2003.</w:t>
      </w:r>
      <w:r>
        <w:t xml:space="preserve"> </w:t>
      </w:r>
      <w:r>
        <w:t xml:space="preserve">“A Role for Overdominant Selection in Phenylketonuria? Evidence from Molecular Data.”</w:t>
      </w:r>
      <w:r>
        <w:t xml:space="preserve"> </w:t>
      </w:r>
      <w:r>
        <w:rPr>
          <w:iCs/>
          <w:i/>
        </w:rPr>
        <w:t xml:space="preserve">Human Mutation</w:t>
      </w:r>
      <w:r>
        <w:t xml:space="preserve"> </w:t>
      </w:r>
      <w:r>
        <w:t xml:space="preserve">21 (4): 394–97.</w:t>
      </w:r>
      <w:r>
        <w:t xml:space="preserve"> </w:t>
      </w:r>
      <w:hyperlink r:id="rId93">
        <w:r>
          <w:rPr>
            <w:rStyle w:val="Hyperlink"/>
          </w:rPr>
          <w:t xml:space="preserve">https://doi.org/10.1002/humu.10205</w:t>
        </w:r>
      </w:hyperlink>
      <w:r>
        <w:t xml:space="preserve">.</w:t>
      </w:r>
    </w:p>
    <w:bookmarkEnd w:id="94"/>
    <w:bookmarkStart w:id="96" w:name="ref-liden_pushing_2006"/>
    <w:p>
      <w:pPr>
        <w:pStyle w:val="Bibliography"/>
      </w:pPr>
      <w:r>
        <w:t xml:space="preserve">Lidén, Kerstin, Anna Linderholm, and Anders Götherström. 2006.</w:t>
      </w:r>
      <w:r>
        <w:t xml:space="preserve"> </w:t>
      </w:r>
      <w:r>
        <w:t xml:space="preserve">“Pushing It Back.</w:t>
      </w:r>
      <w:r>
        <w:t xml:space="preserve"> </w:t>
      </w:r>
      <w:r>
        <w:t xml:space="preserve">Dating</w:t>
      </w:r>
      <w:r>
        <w:t xml:space="preserve"> </w:t>
      </w:r>
      <w:r>
        <w:t xml:space="preserve">the</w:t>
      </w:r>
      <w:r>
        <w:t xml:space="preserve"> </w:t>
      </w:r>
      <w:r>
        <w:t xml:space="preserve">CCR5</w:t>
      </w:r>
      <w:r>
        <w:t xml:space="preserve">–32 Bp Deletion to the</w:t>
      </w:r>
      <w:r>
        <w:t xml:space="preserve"> </w:t>
      </w:r>
      <w:r>
        <w:t xml:space="preserve">Mesolithic</w:t>
      </w:r>
      <w:r>
        <w:t xml:space="preserve"> </w:t>
      </w:r>
      <w:r>
        <w:t xml:space="preserve">in</w:t>
      </w:r>
      <w:r>
        <w:t xml:space="preserve"> </w:t>
      </w:r>
      <w:r>
        <w:t xml:space="preserve">Sweden</w:t>
      </w:r>
      <w:r>
        <w:t xml:space="preserve"> </w:t>
      </w:r>
      <w:r>
        <w:t xml:space="preserve">and Its Implications for the</w:t>
      </w:r>
      <w:r>
        <w:t xml:space="preserve"> </w:t>
      </w:r>
      <w:r>
        <w:t xml:space="preserve">Meso</w:t>
      </w:r>
      <w:r>
        <w:t xml:space="preserve">\</w:t>
      </w:r>
      <w:r>
        <w:t xml:space="preserve">Neo</w:t>
      </w:r>
      <w:r>
        <w:t xml:space="preserve"> </w:t>
      </w:r>
      <w:r>
        <w:t xml:space="preserve">Transition.”</w:t>
      </w:r>
      <w:r>
        <w:t xml:space="preserve"> </w:t>
      </w:r>
      <w:r>
        <w:rPr>
          <w:iCs/>
          <w:i/>
        </w:rPr>
        <w:t xml:space="preserve">Documenta Praehistorica</w:t>
      </w:r>
      <w:r>
        <w:t xml:space="preserve"> </w:t>
      </w:r>
      <w:r>
        <w:t xml:space="preserve">33 (December): 29–37.</w:t>
      </w:r>
      <w:r>
        <w:t xml:space="preserve"> </w:t>
      </w:r>
      <w:hyperlink r:id="rId95">
        <w:r>
          <w:rPr>
            <w:rStyle w:val="Hyperlink"/>
          </w:rPr>
          <w:t xml:space="preserve">https://doi.org/10.4312/dp.33.5</w:t>
        </w:r>
      </w:hyperlink>
      <w:r>
        <w:t xml:space="preserve">.</w:t>
      </w:r>
    </w:p>
    <w:bookmarkEnd w:id="96"/>
    <w:bookmarkStart w:id="98" w:name="ref-mboowaHuman2018"/>
    <w:p>
      <w:pPr>
        <w:pStyle w:val="Bibliography"/>
      </w:pPr>
      <w:r>
        <w:t xml:space="preserve">Mboowa, Gerald, Ivan Sserwadda, Marion Amujal, and Norah Namatovu. 2018.</w:t>
      </w:r>
      <w:r>
        <w:t xml:space="preserve"> </w:t>
      </w:r>
      <w:r>
        <w:t xml:space="preserve">“Human</w:t>
      </w:r>
      <w:r>
        <w:t xml:space="preserve"> </w:t>
      </w:r>
      <w:r>
        <w:t xml:space="preserve">Genomic Loci Important</w:t>
      </w:r>
      <w:r>
        <w:t xml:space="preserve"> </w:t>
      </w:r>
      <w:r>
        <w:t xml:space="preserve">in</w:t>
      </w:r>
      <w:r>
        <w:t xml:space="preserve"> </w:t>
      </w:r>
      <w:r>
        <w:t xml:space="preserve">Common Infectious Diseases</w:t>
      </w:r>
      <w:r>
        <w:t xml:space="preserve">:</w:t>
      </w:r>
      <w:r>
        <w:t xml:space="preserve"> </w:t>
      </w:r>
      <w:r>
        <w:t xml:space="preserve">Role</w:t>
      </w:r>
      <w:r>
        <w:t xml:space="preserve"> </w:t>
      </w:r>
      <w:r>
        <w:t xml:space="preserve">of</w:t>
      </w:r>
      <w:r>
        <w:t xml:space="preserve"> </w:t>
      </w:r>
      <w:r>
        <w:t xml:space="preserve">High-Throughput Sequencing</w:t>
      </w:r>
      <w:r>
        <w:t xml:space="preserve"> </w:t>
      </w:r>
      <w:r>
        <w:t xml:space="preserve">and</w:t>
      </w:r>
      <w:r>
        <w:t xml:space="preserve"> </w:t>
      </w:r>
      <w:r>
        <w:t xml:space="preserve">Genome-Wide Association Studies</w:t>
      </w:r>
      <w:r>
        <w:t xml:space="preserve">.”</w:t>
      </w:r>
      <w:r>
        <w:t xml:space="preserve"> </w:t>
      </w:r>
      <w:r>
        <w:rPr>
          <w:iCs/>
          <w:i/>
        </w:rPr>
        <w:t xml:space="preserve">Canadian Journal of Infectious Diseases and Medical Microbiology</w:t>
      </w:r>
      <w:r>
        <w:t xml:space="preserve"> </w:t>
      </w:r>
      <w:r>
        <w:t xml:space="preserve">2018 (March): e1875217.</w:t>
      </w:r>
      <w:r>
        <w:t xml:space="preserve"> </w:t>
      </w:r>
      <w:hyperlink r:id="rId97">
        <w:r>
          <w:rPr>
            <w:rStyle w:val="Hyperlink"/>
          </w:rPr>
          <w:t xml:space="preserve">https://doi.org/10.1155/2018/1875217</w:t>
        </w:r>
      </w:hyperlink>
      <w:r>
        <w:t xml:space="preserve">.</w:t>
      </w:r>
    </w:p>
    <w:bookmarkEnd w:id="98"/>
    <w:bookmarkStart w:id="100" w:name="ref-nair_selective_2003"/>
    <w:p>
      <w:pPr>
        <w:pStyle w:val="Bibliography"/>
      </w:pPr>
      <w:r>
        <w:t xml:space="preserve">Nair, Shalini, Jeff T. Williams, Alan Brockman, Lucy Paiphun, Mayfong Mayxay, Paul N. Newton, Jean-Paul Guthmann, et al. 2003.</w:t>
      </w:r>
      <w:r>
        <w:t xml:space="preserve"> </w:t>
      </w:r>
      <w:r>
        <w:t xml:space="preserve">“A Selective Sweep Driven by Pyrimethamine Treatment in Southeast Asian Malaria Parasites.”</w:t>
      </w:r>
      <w:r>
        <w:t xml:space="preserve"> </w:t>
      </w:r>
      <w:r>
        <w:rPr>
          <w:iCs/>
          <w:i/>
        </w:rPr>
        <w:t xml:space="preserve">Molecular Biology and Evolution</w:t>
      </w:r>
      <w:r>
        <w:t xml:space="preserve"> </w:t>
      </w:r>
      <w:r>
        <w:t xml:space="preserve">20 (9): 1526–36.</w:t>
      </w:r>
      <w:r>
        <w:t xml:space="preserve"> </w:t>
      </w:r>
      <w:hyperlink r:id="rId99">
        <w:r>
          <w:rPr>
            <w:rStyle w:val="Hyperlink"/>
          </w:rPr>
          <w:t xml:space="preserve">https://doi.org/10.1093/molbev/msg162</w:t>
        </w:r>
      </w:hyperlink>
      <w:r>
        <w:t xml:space="preserve">.</w:t>
      </w:r>
    </w:p>
    <w:bookmarkEnd w:id="100"/>
    <w:bookmarkStart w:id="102" w:name="ref-novembre_geographic_2005"/>
    <w:p>
      <w:pPr>
        <w:pStyle w:val="Bibliography"/>
      </w:pPr>
      <w:r>
        <w:t xml:space="preserve">Novembre, John, Alison P. Galvani, and Montgomery Slatkin. 2005.</w:t>
      </w:r>
      <w:r>
        <w:t xml:space="preserve"> </w:t>
      </w:r>
      <w:r>
        <w:t xml:space="preserve">“The</w:t>
      </w:r>
      <w:r>
        <w:t xml:space="preserve"> </w:t>
      </w:r>
      <w:r>
        <w:t xml:space="preserve">Geographic</w:t>
      </w:r>
      <w:r>
        <w:t xml:space="preserve"> </w:t>
      </w:r>
      <w:r>
        <w:t xml:space="preserve">Spread</w:t>
      </w:r>
      <w:r>
        <w:t xml:space="preserve"> </w:t>
      </w:r>
      <w:r>
        <w:t xml:space="preserve">of the</w:t>
      </w:r>
      <w:r>
        <w:t xml:space="preserve"> </w:t>
      </w:r>
      <w:r>
        <w:t xml:space="preserve">CCR5</w:t>
      </w:r>
      <w:r>
        <w:t xml:space="preserve"> </w:t>
      </w:r>
      <m:oMath>
        <m:r>
          <m:t>Δ</m:t>
        </m:r>
        <m:r>
          <m:t>32</m:t>
        </m:r>
      </m:oMath>
      <w:r>
        <w:t xml:space="preserve"> </w:t>
      </w:r>
      <w:r>
        <w:t xml:space="preserve">HIV</w:t>
      </w:r>
      <w:r>
        <w:t xml:space="preserve">-</w:t>
      </w:r>
      <w:r>
        <w:t xml:space="preserve">Resistance</w:t>
      </w:r>
      <w:r>
        <w:t xml:space="preserve"> </w:t>
      </w:r>
      <w:r>
        <w:t xml:space="preserve">Allele</w:t>
      </w:r>
      <w:r>
        <w:t xml:space="preserve">.”</w:t>
      </w:r>
      <w:r>
        <w:t xml:space="preserve"> </w:t>
      </w:r>
      <w:r>
        <w:rPr>
          <w:iCs/>
          <w:i/>
        </w:rPr>
        <w:t xml:space="preserve">PLOS Biology</w:t>
      </w:r>
      <w:r>
        <w:t xml:space="preserve"> </w:t>
      </w:r>
      <w:r>
        <w:t xml:space="preserve">3 (11): e339.</w:t>
      </w:r>
      <w:r>
        <w:t xml:space="preserve"> </w:t>
      </w:r>
      <w:hyperlink r:id="rId101">
        <w:r>
          <w:rPr>
            <w:rStyle w:val="Hyperlink"/>
          </w:rPr>
          <w:t xml:space="preserve">https://doi.org/10.1371/journal.pbio.0030339</w:t>
        </w:r>
      </w:hyperlink>
      <w:r>
        <w:t xml:space="preserve">.</w:t>
      </w:r>
    </w:p>
    <w:bookmarkEnd w:id="102"/>
    <w:bookmarkStart w:id="104" w:name="ref-pielGlobal2010b"/>
    <w:p>
      <w:pPr>
        <w:pStyle w:val="Bibliography"/>
      </w:pPr>
      <w:r>
        <w:t xml:space="preserve">Piel, Frédéric B., Anand P. Patil, Rosalind E. Howes, Oscar A. Nyangiri, Peter W. Gething, Thomas N. Williams, David J. Weatherall, and Simon I. Hay. 2010.</w:t>
      </w:r>
      <w:r>
        <w:t xml:space="preserve"> </w:t>
      </w:r>
      <w:r>
        <w:t xml:space="preserve">“Global Distribution of the Sickle Cell Gene and Geographical Confirmation of the Malaria Hypothesis.”</w:t>
      </w:r>
      <w:r>
        <w:t xml:space="preserve"> </w:t>
      </w:r>
      <w:r>
        <w:rPr>
          <w:iCs/>
          <w:i/>
        </w:rPr>
        <w:t xml:space="preserve">Nature Communications</w:t>
      </w:r>
      <w:r>
        <w:t xml:space="preserve"> </w:t>
      </w:r>
      <w:r>
        <w:t xml:space="preserve">1 (November): 104.</w:t>
      </w:r>
      <w:r>
        <w:t xml:space="preserve"> </w:t>
      </w:r>
      <w:hyperlink r:id="rId103">
        <w:r>
          <w:rPr>
            <w:rStyle w:val="Hyperlink"/>
          </w:rPr>
          <w:t xml:space="preserve">https://doi.org/10.1038/ncomms1104</w:t>
        </w:r>
      </w:hyperlink>
      <w:r>
        <w:t xml:space="preserve">.</w:t>
      </w:r>
    </w:p>
    <w:bookmarkEnd w:id="104"/>
    <w:bookmarkStart w:id="106" w:name="ref-raberg_disentangling_2007"/>
    <w:p>
      <w:pPr>
        <w:pStyle w:val="Bibliography"/>
      </w:pPr>
      <w:r>
        <w:t xml:space="preserve">Raberg, Lars, Derek Sim, and Andrew F. Read. 2007.</w:t>
      </w:r>
      <w:r>
        <w:t xml:space="preserve"> </w:t>
      </w:r>
      <w:r>
        <w:t xml:space="preserve">“Disentangling</w:t>
      </w:r>
      <w:r>
        <w:t xml:space="preserve"> </w:t>
      </w:r>
      <w:r>
        <w:t xml:space="preserve">Genetic</w:t>
      </w:r>
      <w:r>
        <w:t xml:space="preserve"> </w:t>
      </w:r>
      <w:r>
        <w:t xml:space="preserve">Variation</w:t>
      </w:r>
      <w:r>
        <w:t xml:space="preserve"> </w:t>
      </w:r>
      <w:r>
        <w:t xml:space="preserve">for</w:t>
      </w:r>
      <w:r>
        <w:t xml:space="preserve"> </w:t>
      </w:r>
      <w:r>
        <w:t xml:space="preserve">Resistance</w:t>
      </w:r>
      <w:r>
        <w:t xml:space="preserve"> </w:t>
      </w:r>
      <w:r>
        <w:t xml:space="preserve">and</w:t>
      </w:r>
      <w:r>
        <w:t xml:space="preserve"> </w:t>
      </w:r>
      <w:r>
        <w:t xml:space="preserve">Tolerance</w:t>
      </w:r>
      <w:r>
        <w:t xml:space="preserve"> </w:t>
      </w:r>
      <w:r>
        <w:t xml:space="preserve">to</w:t>
      </w:r>
      <w:r>
        <w:t xml:space="preserve"> </w:t>
      </w:r>
      <w:r>
        <w:t xml:space="preserve">Infectious</w:t>
      </w:r>
      <w:r>
        <w:t xml:space="preserve"> </w:t>
      </w:r>
      <w:r>
        <w:t xml:space="preserve">Diseases</w:t>
      </w:r>
      <w:r>
        <w:t xml:space="preserve"> </w:t>
      </w:r>
      <w:r>
        <w:t xml:space="preserve">in</w:t>
      </w:r>
      <w:r>
        <w:t xml:space="preserve"> </w:t>
      </w:r>
      <w:r>
        <w:t xml:space="preserve">Animals</w:t>
      </w:r>
      <w:r>
        <w:t xml:space="preserve">.”</w:t>
      </w:r>
      <w:r>
        <w:t xml:space="preserve"> </w:t>
      </w:r>
      <w:r>
        <w:rPr>
          <w:iCs/>
          <w:i/>
        </w:rPr>
        <w:t xml:space="preserve">Science</w:t>
      </w:r>
      <w:r>
        <w:t xml:space="preserve"> </w:t>
      </w:r>
      <w:r>
        <w:t xml:space="preserve">318 (5851): 812–14.</w:t>
      </w:r>
      <w:r>
        <w:t xml:space="preserve"> </w:t>
      </w:r>
      <w:hyperlink r:id="rId105">
        <w:r>
          <w:rPr>
            <w:rStyle w:val="Hyperlink"/>
          </w:rPr>
          <w:t xml:space="preserve">https://doi.org/10.1126/science.1148526</w:t>
        </w:r>
      </w:hyperlink>
      <w:r>
        <w:t xml:space="preserve">.</w:t>
      </w:r>
    </w:p>
    <w:bookmarkEnd w:id="106"/>
    <w:bookmarkStart w:id="108" w:name="ref-raberg_decomposing_2009"/>
    <w:p>
      <w:pPr>
        <w:pStyle w:val="Bibliography"/>
      </w:pPr>
      <w:r>
        <w:t xml:space="preserve">Råberg, Lars, Andrea L Graham, and Andrew F Read. 2009.</w:t>
      </w:r>
      <w:r>
        <w:t xml:space="preserve"> </w:t>
      </w:r>
      <w:r>
        <w:t xml:space="preserve">“Decomposing Health: Tolerance and Resistance to Parasites in Animals.”</w:t>
      </w:r>
      <w:r>
        <w:t xml:space="preserve"> </w:t>
      </w:r>
      <w:r>
        <w:rPr>
          <w:iCs/>
          <w:i/>
        </w:rPr>
        <w:t xml:space="preserve">Philosophical Transactions of the Royal Society B: Biological Sciences</w:t>
      </w:r>
      <w:r>
        <w:t xml:space="preserve"> </w:t>
      </w:r>
      <w:r>
        <w:t xml:space="preserve">364 (1513): 37–49.</w:t>
      </w:r>
      <w:r>
        <w:t xml:space="preserve"> </w:t>
      </w:r>
      <w:hyperlink r:id="rId107">
        <w:r>
          <w:rPr>
            <w:rStyle w:val="Hyperlink"/>
          </w:rPr>
          <w:t xml:space="preserve">https://doi.org/10.1098/rstb.2008.0184</w:t>
        </w:r>
      </w:hyperlink>
      <w:r>
        <w:t xml:space="preserve">.</w:t>
      </w:r>
    </w:p>
    <w:bookmarkEnd w:id="108"/>
    <w:bookmarkStart w:id="109" w:name="ref-rauch_relative_2006"/>
    <w:p>
      <w:pPr>
        <w:pStyle w:val="Bibliography"/>
      </w:pPr>
      <w:r>
        <w:t xml:space="preserve">Rauch, G., M. Kalbe, and T. B. H Reusch. 2006.</w:t>
      </w:r>
      <w:r>
        <w:t xml:space="preserve"> </w:t>
      </w:r>
      <w:r>
        <w:t xml:space="preserve">“Relative Importance of</w:t>
      </w:r>
      <w:r>
        <w:t xml:space="preserve"> </w:t>
      </w:r>
      <w:r>
        <w:t xml:space="preserve">MHC</w:t>
      </w:r>
      <w:r>
        <w:t xml:space="preserve"> </w:t>
      </w:r>
      <w:r>
        <w:t xml:space="preserve">and Genetic Background for Parasite Load in a Field Experiment.”</w:t>
      </w:r>
      <w:r>
        <w:t xml:space="preserve"> </w:t>
      </w:r>
      <w:r>
        <w:rPr>
          <w:iCs/>
          <w:i/>
        </w:rPr>
        <w:t xml:space="preserve">Evolutionary Ecology Research</w:t>
      </w:r>
      <w:r>
        <w:t xml:space="preserve"> </w:t>
      </w:r>
      <w:r>
        <w:t xml:space="preserve">8 (2): 373–86.</w:t>
      </w:r>
    </w:p>
    <w:bookmarkEnd w:id="109"/>
    <w:bookmarkStart w:id="111" w:name="ref-roy_evolutionary_2000"/>
    <w:p>
      <w:pPr>
        <w:pStyle w:val="Bibliography"/>
      </w:pPr>
      <w:r>
        <w:t xml:space="preserve">Roy, B. A., and J. W. Kirchner. 2000.</w:t>
      </w:r>
      <w:r>
        <w:t xml:space="preserve"> </w:t>
      </w:r>
      <w:r>
        <w:t xml:space="preserve">“Evolutionary</w:t>
      </w:r>
      <w:r>
        <w:t xml:space="preserve"> </w:t>
      </w:r>
      <w:r>
        <w:t xml:space="preserve">Dynamics</w:t>
      </w:r>
      <w:r>
        <w:t xml:space="preserve"> </w:t>
      </w:r>
      <w:r>
        <w:t xml:space="preserve">of</w:t>
      </w:r>
      <w:r>
        <w:t xml:space="preserve"> </w:t>
      </w:r>
      <w:r>
        <w:t xml:space="preserve">Pathogen</w:t>
      </w:r>
      <w:r>
        <w:t xml:space="preserve"> </w:t>
      </w:r>
      <w:r>
        <w:t xml:space="preserve">Resistance</w:t>
      </w:r>
      <w:r>
        <w:t xml:space="preserve"> </w:t>
      </w:r>
      <w:r>
        <w:t xml:space="preserve">and</w:t>
      </w:r>
      <w:r>
        <w:t xml:space="preserve"> </w:t>
      </w:r>
      <w:r>
        <w:t xml:space="preserve">Tolerance</w:t>
      </w:r>
      <w:r>
        <w:t xml:space="preserve">.”</w:t>
      </w:r>
      <w:r>
        <w:t xml:space="preserve"> </w:t>
      </w:r>
      <w:r>
        <w:rPr>
          <w:iCs/>
          <w:i/>
        </w:rPr>
        <w:t xml:space="preserve">Evolution</w:t>
      </w:r>
      <w:r>
        <w:t xml:space="preserve"> </w:t>
      </w:r>
      <w:r>
        <w:t xml:space="preserve">54 (1): 51–63.</w:t>
      </w:r>
      <w:r>
        <w:t xml:space="preserve"> </w:t>
      </w:r>
      <w:hyperlink r:id="rId110">
        <w:r>
          <w:rPr>
            <w:rStyle w:val="Hyperlink"/>
          </w:rPr>
          <w:t xml:space="preserve">https://doi.org/10.1111/j.0014-3820.2000.tb00007.x</w:t>
        </w:r>
      </w:hyperlink>
      <w:r>
        <w:t xml:space="preserve">.</w:t>
      </w:r>
    </w:p>
    <w:bookmarkEnd w:id="111"/>
    <w:bookmarkStart w:id="113" w:name="ref-schmid-hempel_immune_2009"/>
    <w:p>
      <w:pPr>
        <w:pStyle w:val="Bibliography"/>
      </w:pPr>
      <w:r>
        <w:t xml:space="preserve">Schmid-Hempel, Paul. 2009.</w:t>
      </w:r>
      <w:r>
        <w:t xml:space="preserve"> </w:t>
      </w:r>
      <w:r>
        <w:t xml:space="preserve">“Immune Defence, Parasite Evasion Strategies and Their Relevance for</w:t>
      </w:r>
      <w:r>
        <w:t xml:space="preserve"> </w:t>
      </w:r>
      <w:r>
        <w:t xml:space="preserve">‘Macroscopic Phenomena’</w:t>
      </w:r>
      <w:r>
        <w:t xml:space="preserve"> </w:t>
      </w:r>
      <w:r>
        <w:t xml:space="preserve">Such as Virulence.”</w:t>
      </w:r>
      <w:r>
        <w:t xml:space="preserve"> </w:t>
      </w:r>
      <w:r>
        <w:rPr>
          <w:iCs/>
          <w:i/>
        </w:rPr>
        <w:t xml:space="preserve">Philosophical Transactions of the Royal Society B: Biological Sciences</w:t>
      </w:r>
      <w:r>
        <w:t xml:space="preserve"> </w:t>
      </w:r>
      <w:r>
        <w:t xml:space="preserve">364 (1513): 85–98.</w:t>
      </w:r>
      <w:r>
        <w:t xml:space="preserve"> </w:t>
      </w:r>
      <w:hyperlink r:id="rId112">
        <w:r>
          <w:rPr>
            <w:rStyle w:val="Hyperlink"/>
          </w:rPr>
          <w:t xml:space="preserve">https://doi.org/10.1098/rstb.2008.0157</w:t>
        </w:r>
      </w:hyperlink>
      <w:r>
        <w:t xml:space="preserve">.</w:t>
      </w:r>
    </w:p>
    <w:bookmarkEnd w:id="113"/>
    <w:bookmarkStart w:id="115" w:name="ref-schneider_two_2008"/>
    <w:p>
      <w:pPr>
        <w:pStyle w:val="Bibliography"/>
      </w:pPr>
      <w:r>
        <w:t xml:space="preserve">Schneider, David S., and Janelle S. Ayres. 2008.</w:t>
      </w:r>
      <w:r>
        <w:t xml:space="preserve"> </w:t>
      </w:r>
      <w:r>
        <w:t xml:space="preserve">“Two Ways to Survive Infection: What Resistance and Tolerance Can Teach Us about Treating Infectious Diseases.”</w:t>
      </w:r>
      <w:r>
        <w:t xml:space="preserve"> </w:t>
      </w:r>
      <w:r>
        <w:rPr>
          <w:iCs/>
          <w:i/>
        </w:rPr>
        <w:t xml:space="preserve">Nature Reviews Immunology</w:t>
      </w:r>
      <w:r>
        <w:t xml:space="preserve"> </w:t>
      </w:r>
      <w:r>
        <w:t xml:space="preserve">8 (11): 889–95.</w:t>
      </w:r>
      <w:r>
        <w:t xml:space="preserve"> </w:t>
      </w:r>
      <w:hyperlink r:id="rId114">
        <w:r>
          <w:rPr>
            <w:rStyle w:val="Hyperlink"/>
          </w:rPr>
          <w:t xml:space="preserve">https://doi.org/10.1038/nri2432</w:t>
        </w:r>
      </w:hyperlink>
      <w:r>
        <w:t xml:space="preserve">.</w:t>
      </w:r>
    </w:p>
    <w:bookmarkEnd w:id="115"/>
    <w:bookmarkStart w:id="117" w:name="ref-spurgin_how_2010"/>
    <w:p>
      <w:pPr>
        <w:pStyle w:val="Bibliography"/>
      </w:pPr>
      <w:r>
        <w:t xml:space="preserve">Spurgin, Lewis G., and David S. Richardson. 2010.</w:t>
      </w:r>
      <w:r>
        <w:t xml:space="preserve"> </w:t>
      </w:r>
      <w:r>
        <w:t xml:space="preserve">“How Pathogens Drive Genetic Diversity:</w:t>
      </w:r>
      <w:r>
        <w:t xml:space="preserve"> </w:t>
      </w:r>
      <w:r>
        <w:t xml:space="preserve">MHC</w:t>
      </w:r>
      <w:r>
        <w:t xml:space="preserve">, Mechanisms and Misunderstandings.”</w:t>
      </w:r>
      <w:r>
        <w:t xml:space="preserve"> </w:t>
      </w:r>
      <w:r>
        <w:rPr>
          <w:iCs/>
          <w:i/>
        </w:rPr>
        <w:t xml:space="preserve">Proceedings of the Royal Society B: Biological Sciences</w:t>
      </w:r>
      <w:r>
        <w:t xml:space="preserve"> </w:t>
      </w:r>
      <w:r>
        <w:t xml:space="preserve">277 (1684): 979–88.</w:t>
      </w:r>
      <w:r>
        <w:t xml:space="preserve"> </w:t>
      </w:r>
      <w:hyperlink r:id="rId116">
        <w:r>
          <w:rPr>
            <w:rStyle w:val="Hyperlink"/>
          </w:rPr>
          <w:t xml:space="preserve">https://doi.org/10.1098/rspb.2009.2084</w:t>
        </w:r>
      </w:hyperlink>
      <w:r>
        <w:t xml:space="preserve">.</w:t>
      </w:r>
    </w:p>
    <w:bookmarkEnd w:id="117"/>
    <w:bookmarkStart w:id="119" w:name="ref-spyropoulos_taysachs_1988"/>
    <w:p>
      <w:pPr>
        <w:pStyle w:val="Bibliography"/>
      </w:pPr>
      <w:r>
        <w:t xml:space="preserve">Spyropoulos, B. 1988.</w:t>
      </w:r>
      <w:r>
        <w:t xml:space="preserve"> </w:t>
      </w:r>
      <w:r>
        <w:t xml:space="preserve">“Tay-Sachs Carriers and Tuberculosis Resistance.”</w:t>
      </w:r>
      <w:r>
        <w:t xml:space="preserve"> </w:t>
      </w:r>
      <w:r>
        <w:rPr>
          <w:iCs/>
          <w:i/>
        </w:rPr>
        <w:t xml:space="preserve">Nature</w:t>
      </w:r>
      <w:r>
        <w:t xml:space="preserve"> </w:t>
      </w:r>
      <w:r>
        <w:t xml:space="preserve">331 (6158): 666.</w:t>
      </w:r>
      <w:r>
        <w:t xml:space="preserve"> </w:t>
      </w:r>
      <w:hyperlink r:id="rId118">
        <w:r>
          <w:rPr>
            <w:rStyle w:val="Hyperlink"/>
          </w:rPr>
          <w:t xml:space="preserve">https://doi.org/10.1038/331666a0</w:t>
        </w:r>
      </w:hyperlink>
      <w:r>
        <w:t xml:space="preserve">.</w:t>
      </w:r>
    </w:p>
    <w:bookmarkEnd w:id="119"/>
    <w:bookmarkStart w:id="121" w:name="ref-stahl_dynamics_1999"/>
    <w:p>
      <w:pPr>
        <w:pStyle w:val="Bibliography"/>
      </w:pPr>
      <w:r>
        <w:t xml:space="preserve">Stahl, Eli A., Greg Dwyer, Rodney Mauricio, Martin Kreitman, and Joy Bergelson. 1999.</w:t>
      </w:r>
      <w:r>
        <w:t xml:space="preserve"> </w:t>
      </w:r>
      <w:r>
        <w:t xml:space="preserve">“Dynamics of Disease Resistance Polymorphism at the</w:t>
      </w:r>
      <w:r>
        <w:t xml:space="preserve"> </w:t>
      </w:r>
      <w:r>
        <w:t xml:space="preserve">Rpm1</w:t>
      </w:r>
      <w:r>
        <w:t xml:space="preserve"> </w:t>
      </w:r>
      <w:r>
        <w:t xml:space="preserve">Locus of</w:t>
      </w:r>
      <w:r>
        <w:t xml:space="preserve"> </w:t>
      </w:r>
      <w:r>
        <w:t xml:space="preserve">Arabidopsis</w:t>
      </w:r>
      <w:r>
        <w:t xml:space="preserve">.”</w:t>
      </w:r>
      <w:r>
        <w:t xml:space="preserve"> </w:t>
      </w:r>
      <w:r>
        <w:rPr>
          <w:iCs/>
          <w:i/>
        </w:rPr>
        <w:t xml:space="preserve">Nature</w:t>
      </w:r>
      <w:r>
        <w:t xml:space="preserve"> </w:t>
      </w:r>
      <w:r>
        <w:t xml:space="preserve">400 (6745): 667–71.</w:t>
      </w:r>
      <w:r>
        <w:t xml:space="preserve"> </w:t>
      </w:r>
      <w:hyperlink r:id="rId120">
        <w:r>
          <w:rPr>
            <w:rStyle w:val="Hyperlink"/>
          </w:rPr>
          <w:t xml:space="preserve">https://doi.org/10.1038/23260</w:t>
        </w:r>
      </w:hyperlink>
      <w:r>
        <w:t xml:space="preserve">.</w:t>
      </w:r>
    </w:p>
    <w:bookmarkEnd w:id="121"/>
    <w:bookmarkEnd w:id="122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Last updated: 2023-10-30 12:17:57.472741</w:t>
      </w:r>
    </w:p>
    <w:bookmarkEnd w:id="123"/>
    <w:bookmarkEnd w:id="12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ce5c00"/>
      <w:shd w:val="clear" w:fill="f8f8f8"/>
      <w:b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204a87"/>
      <w:shd w:val="clear" w:fill="f8f8f8"/>
      <w:b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1" Target="media/rId41.png" /><Relationship Type="http://schemas.openxmlformats.org/officeDocument/2006/relationships/image" Id="rId60" Target="media/rId60.png" /><Relationship Type="http://schemas.openxmlformats.org/officeDocument/2006/relationships/image" Id="rId69" Target="media/rId69.png" /><Relationship Type="http://schemas.openxmlformats.org/officeDocument/2006/relationships/image" Id="rId54" Target="media/rId54.png" /><Relationship Type="http://schemas.openxmlformats.org/officeDocument/2006/relationships/image" Id="rId50" Target="media/rId50.png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46" Target="media/rId46.jpg" /><Relationship Type="http://schemas.openxmlformats.org/officeDocument/2006/relationships/image" Id="rId65" Target="media/rId65.png" /><Relationship Type="http://schemas.openxmlformats.org/officeDocument/2006/relationships/hyperlink" Id="rId93" Target="https://doi.org/10.1002/humu.10205" TargetMode="External" /><Relationship Type="http://schemas.openxmlformats.org/officeDocument/2006/relationships/hyperlink" Id="rId79" Target="https://doi.org/10.1007/s00439-003-1072-8" TargetMode="External" /><Relationship Type="http://schemas.openxmlformats.org/officeDocument/2006/relationships/hyperlink" Id="rId87" Target="https://doi.org/10.1016/j.ajhg.2020.06.006" TargetMode="External" /><Relationship Type="http://schemas.openxmlformats.org/officeDocument/2006/relationships/hyperlink" Id="rId75" Target="https://doi.org/10.1016/j.it.2019.10.001" TargetMode="External" /><Relationship Type="http://schemas.openxmlformats.org/officeDocument/2006/relationships/hyperlink" Id="rId83" Target="https://doi.org/10.1016/j.micinf.2004.12.006" TargetMode="External" /><Relationship Type="http://schemas.openxmlformats.org/officeDocument/2006/relationships/hyperlink" Id="rId120" Target="https://doi.org/10.1038/23260" TargetMode="External" /><Relationship Type="http://schemas.openxmlformats.org/officeDocument/2006/relationships/hyperlink" Id="rId118" Target="https://doi.org/10.1038/331666a0" TargetMode="External" /><Relationship Type="http://schemas.openxmlformats.org/officeDocument/2006/relationships/hyperlink" Id="rId103" Target="https://doi.org/10.1038/ncomms1104" TargetMode="External" /><Relationship Type="http://schemas.openxmlformats.org/officeDocument/2006/relationships/hyperlink" Id="rId114" Target="https://doi.org/10.1038/nri2432" TargetMode="External" /><Relationship Type="http://schemas.openxmlformats.org/officeDocument/2006/relationships/hyperlink" Id="rId89" Target="https://doi.org/10.1038/sj.gene.6364172" TargetMode="External" /><Relationship Type="http://schemas.openxmlformats.org/officeDocument/2006/relationships/hyperlink" Id="rId85" Target="https://doi.org/10.1073/pnas.182420799" TargetMode="External" /><Relationship Type="http://schemas.openxmlformats.org/officeDocument/2006/relationships/hyperlink" Id="rId77" Target="https://doi.org/10.1093/hmg/ddab004" TargetMode="External" /><Relationship Type="http://schemas.openxmlformats.org/officeDocument/2006/relationships/hyperlink" Id="rId99" Target="https://doi.org/10.1093/molbev/msg162" TargetMode="External" /><Relationship Type="http://schemas.openxmlformats.org/officeDocument/2006/relationships/hyperlink" Id="rId116" Target="https://doi.org/10.1098/rspb.2009.2084" TargetMode="External" /><Relationship Type="http://schemas.openxmlformats.org/officeDocument/2006/relationships/hyperlink" Id="rId91" Target="https://doi.org/10.1098/rspb.2020.0388" TargetMode="External" /><Relationship Type="http://schemas.openxmlformats.org/officeDocument/2006/relationships/hyperlink" Id="rId112" Target="https://doi.org/10.1098/rstb.2008.0157" TargetMode="External" /><Relationship Type="http://schemas.openxmlformats.org/officeDocument/2006/relationships/hyperlink" Id="rId107" Target="https://doi.org/10.1098/rstb.2008.0184" TargetMode="External" /><Relationship Type="http://schemas.openxmlformats.org/officeDocument/2006/relationships/hyperlink" Id="rId110" Target="https://doi.org/10.1111/j.0014-3820.2000.tb00007.x" TargetMode="External" /><Relationship Type="http://schemas.openxmlformats.org/officeDocument/2006/relationships/hyperlink" Id="rId105" Target="https://doi.org/10.1126/science.1148526" TargetMode="External" /><Relationship Type="http://schemas.openxmlformats.org/officeDocument/2006/relationships/hyperlink" Id="rId97" Target="https://doi.org/10.1155/2018/1875217" TargetMode="External" /><Relationship Type="http://schemas.openxmlformats.org/officeDocument/2006/relationships/hyperlink" Id="rId101" Target="https://doi.org/10.1371/journal.pbio.0030339" TargetMode="External" /><Relationship Type="http://schemas.openxmlformats.org/officeDocument/2006/relationships/hyperlink" Id="rId81" Target="https://doi.org/10.4236/aa.2012.23016" TargetMode="External" /><Relationship Type="http://schemas.openxmlformats.org/officeDocument/2006/relationships/hyperlink" Id="rId95" Target="https://doi.org/10.4312/dp.33.5" TargetMode="External" /><Relationship Type="http://schemas.openxmlformats.org/officeDocument/2006/relationships/hyperlink" Id="rId57" Target="https://en.wikipedia.org/wiki/Genetic_resistance_to_malaria" TargetMode="External" /><Relationship Type="http://schemas.openxmlformats.org/officeDocument/2006/relationships/hyperlink" Id="rId29" Target="pix/raberg_fig2b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93" Target="https://doi.org/10.1002/humu.10205" TargetMode="External" /><Relationship Type="http://schemas.openxmlformats.org/officeDocument/2006/relationships/hyperlink" Id="rId79" Target="https://doi.org/10.1007/s00439-003-1072-8" TargetMode="External" /><Relationship Type="http://schemas.openxmlformats.org/officeDocument/2006/relationships/hyperlink" Id="rId87" Target="https://doi.org/10.1016/j.ajhg.2020.06.006" TargetMode="External" /><Relationship Type="http://schemas.openxmlformats.org/officeDocument/2006/relationships/hyperlink" Id="rId75" Target="https://doi.org/10.1016/j.it.2019.10.001" TargetMode="External" /><Relationship Type="http://schemas.openxmlformats.org/officeDocument/2006/relationships/hyperlink" Id="rId83" Target="https://doi.org/10.1016/j.micinf.2004.12.006" TargetMode="External" /><Relationship Type="http://schemas.openxmlformats.org/officeDocument/2006/relationships/hyperlink" Id="rId120" Target="https://doi.org/10.1038/23260" TargetMode="External" /><Relationship Type="http://schemas.openxmlformats.org/officeDocument/2006/relationships/hyperlink" Id="rId118" Target="https://doi.org/10.1038/331666a0" TargetMode="External" /><Relationship Type="http://schemas.openxmlformats.org/officeDocument/2006/relationships/hyperlink" Id="rId103" Target="https://doi.org/10.1038/ncomms1104" TargetMode="External" /><Relationship Type="http://schemas.openxmlformats.org/officeDocument/2006/relationships/hyperlink" Id="rId114" Target="https://doi.org/10.1038/nri2432" TargetMode="External" /><Relationship Type="http://schemas.openxmlformats.org/officeDocument/2006/relationships/hyperlink" Id="rId89" Target="https://doi.org/10.1038/sj.gene.6364172" TargetMode="External" /><Relationship Type="http://schemas.openxmlformats.org/officeDocument/2006/relationships/hyperlink" Id="rId85" Target="https://doi.org/10.1073/pnas.182420799" TargetMode="External" /><Relationship Type="http://schemas.openxmlformats.org/officeDocument/2006/relationships/hyperlink" Id="rId77" Target="https://doi.org/10.1093/hmg/ddab004" TargetMode="External" /><Relationship Type="http://schemas.openxmlformats.org/officeDocument/2006/relationships/hyperlink" Id="rId99" Target="https://doi.org/10.1093/molbev/msg162" TargetMode="External" /><Relationship Type="http://schemas.openxmlformats.org/officeDocument/2006/relationships/hyperlink" Id="rId116" Target="https://doi.org/10.1098/rspb.2009.2084" TargetMode="External" /><Relationship Type="http://schemas.openxmlformats.org/officeDocument/2006/relationships/hyperlink" Id="rId91" Target="https://doi.org/10.1098/rspb.2020.0388" TargetMode="External" /><Relationship Type="http://schemas.openxmlformats.org/officeDocument/2006/relationships/hyperlink" Id="rId112" Target="https://doi.org/10.1098/rstb.2008.0157" TargetMode="External" /><Relationship Type="http://schemas.openxmlformats.org/officeDocument/2006/relationships/hyperlink" Id="rId107" Target="https://doi.org/10.1098/rstb.2008.0184" TargetMode="External" /><Relationship Type="http://schemas.openxmlformats.org/officeDocument/2006/relationships/hyperlink" Id="rId110" Target="https://doi.org/10.1111/j.0014-3820.2000.tb00007.x" TargetMode="External" /><Relationship Type="http://schemas.openxmlformats.org/officeDocument/2006/relationships/hyperlink" Id="rId105" Target="https://doi.org/10.1126/science.1148526" TargetMode="External" /><Relationship Type="http://schemas.openxmlformats.org/officeDocument/2006/relationships/hyperlink" Id="rId97" Target="https://doi.org/10.1155/2018/1875217" TargetMode="External" /><Relationship Type="http://schemas.openxmlformats.org/officeDocument/2006/relationships/hyperlink" Id="rId101" Target="https://doi.org/10.1371/journal.pbio.0030339" TargetMode="External" /><Relationship Type="http://schemas.openxmlformats.org/officeDocument/2006/relationships/hyperlink" Id="rId81" Target="https://doi.org/10.4236/aa.2012.23016" TargetMode="External" /><Relationship Type="http://schemas.openxmlformats.org/officeDocument/2006/relationships/hyperlink" Id="rId95" Target="https://doi.org/10.4312/dp.33.5" TargetMode="External" /><Relationship Type="http://schemas.openxmlformats.org/officeDocument/2006/relationships/hyperlink" Id="rId57" Target="https://en.wikipedia.org/wiki/Genetic_resistance_to_malaria" TargetMode="External" /><Relationship Type="http://schemas.openxmlformats.org/officeDocument/2006/relationships/hyperlink" Id="rId29" Target="pix/raberg_fig2b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evolution of host resistance and tolerance</dc:title>
  <dc:creator/>
  <cp:keywords/>
  <dcterms:created xsi:type="dcterms:W3CDTF">2023-10-30T16:17:57Z</dcterms:created>
  <dcterms:modified xsi:type="dcterms:W3CDTF">2023-10-30T16:17:57Z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../eeid.bib</vt:lpwstr>
  </property>
  <property fmtid="{D5CDD505-2E9C-101B-9397-08002B2CF9AE}" pid="3" name="date">
    <vt:lpwstr>28 October 2023</vt:lpwstr>
  </property>
  <property fmtid="{D5CDD505-2E9C-101B-9397-08002B2CF9AE}" pid="4" name="header-includes">
    <vt:lpwstr/>
  </property>
</Properties>
</file>