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5.png" ContentType="image/png"/>
  <Override PartName="/word/media/rId38.png" ContentType="image/png"/>
  <Override PartName="/word/media/rId20.png" ContentType="image/png"/>
  <Override PartName="/word/media/rId23.png" ContentType="image/png"/>
  <Override PartName="/word/media/rId2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evolution</w:t>
      </w:r>
      <w:r>
        <w:t xml:space="preserve"> </w:t>
      </w:r>
      <w:r>
        <w:t xml:space="preserve">of</w:t>
      </w:r>
      <w:r>
        <w:t xml:space="preserve"> </w:t>
      </w:r>
      <w:r>
        <w:t xml:space="preserve">parasite</w:t>
      </w:r>
      <w:r>
        <w:t xml:space="preserve"> </w:t>
      </w:r>
      <w:r>
        <w:t xml:space="preserve">countermeasures</w:t>
      </w:r>
    </w:p>
    <w:p>
      <w:pPr>
        <w:pStyle w:val="Date"/>
      </w:pPr>
      <w:r>
        <w:t xml:space="preserve">6</w:t>
      </w:r>
      <w:r>
        <w:t xml:space="preserve"> </w:t>
      </w:r>
      <w:r>
        <w:t xml:space="preserve">Nov</w:t>
      </w:r>
      <w:r>
        <w:t xml:space="preserve"> </w:t>
      </w:r>
      <w:r>
        <w:t xml:space="preserve">2023</w:t>
      </w:r>
    </w:p>
    <w:bookmarkStart w:id="26" w:name="general-principles"/>
    <w:p>
      <w:pPr>
        <w:pStyle w:val="Heading1"/>
      </w:pPr>
      <w:r>
        <w:t xml:space="preserve">General principles</w:t>
      </w:r>
    </w:p>
    <w:p>
      <w:pPr>
        <w:numPr>
          <w:ilvl w:val="0"/>
          <w:numId w:val="1001"/>
        </w:numPr>
        <w:pStyle w:val="Compact"/>
      </w:pPr>
      <w:r>
        <w:t xml:space="preserve">two stages of evolution:</w:t>
      </w:r>
      <w:r>
        <w:t xml:space="preserve"> </w:t>
      </w:r>
      <w:r>
        <w:rPr>
          <w:iCs/>
          <w:i/>
        </w:rPr>
        <w:t xml:space="preserve">de novo</w:t>
      </w:r>
      <w:r>
        <w:t xml:space="preserve"> </w:t>
      </w:r>
      <w:r>
        <w:t xml:space="preserve">mutation and selection</w:t>
      </w:r>
    </w:p>
    <w:p>
      <w:pPr>
        <w:numPr>
          <w:ilvl w:val="0"/>
          <w:numId w:val="1001"/>
        </w:numPr>
        <w:pStyle w:val="Compact"/>
      </w:pPr>
      <w:r>
        <w:t xml:space="preserve">limiting factors in</w:t>
      </w:r>
      <w:r>
        <w:t xml:space="preserve"> </w:t>
      </w:r>
      <w:r>
        <w:rPr>
          <w:iCs/>
          <w:i/>
        </w:rPr>
        <w:t xml:space="preserve">de novo</w:t>
      </w:r>
      <w:r>
        <w:t xml:space="preserve"> </w:t>
      </w:r>
      <w:r>
        <w:t xml:space="preserve">mutation</w:t>
      </w:r>
    </w:p>
    <w:p>
      <w:pPr>
        <w:numPr>
          <w:ilvl w:val="1"/>
          <w:numId w:val="1002"/>
        </w:numPr>
        <w:pStyle w:val="Compact"/>
      </w:pPr>
      <w:r>
        <w:t xml:space="preserve">mutation rate (per locus/per genome)</w:t>
      </w:r>
    </w:p>
    <w:p>
      <w:pPr>
        <w:numPr>
          <w:ilvl w:val="1"/>
          <w:numId w:val="1002"/>
        </w:numPr>
        <w:pStyle w:val="Compact"/>
      </w:pPr>
      <w:r>
        <w:t xml:space="preserve">population size</w:t>
      </w:r>
    </w:p>
    <w:p>
      <w:pPr>
        <w:numPr>
          <w:ilvl w:val="1"/>
          <w:numId w:val="1002"/>
        </w:numPr>
        <w:pStyle w:val="Compact"/>
      </w:pPr>
      <w:r>
        <w:t xml:space="preserve">generation time</w:t>
      </w:r>
    </w:p>
    <w:p>
      <w:pPr>
        <w:numPr>
          <w:ilvl w:val="1"/>
          <w:numId w:val="1002"/>
        </w:numPr>
        <w:pStyle w:val="Compact"/>
      </w:pPr>
      <w:r>
        <w:t xml:space="preserve">rate appearance of new mutations = (mutation rate × pop size)/(generation time)</w:t>
      </w:r>
    </w:p>
    <w:p>
      <w:pPr>
        <w:numPr>
          <w:ilvl w:val="1"/>
          <w:numId w:val="1002"/>
        </w:numPr>
        <w:pStyle w:val="Compact"/>
      </w:pPr>
      <w:r>
        <w:t xml:space="preserve">mutational</w:t>
      </w:r>
      <w:r>
        <w:t xml:space="preserve"> </w:t>
      </w:r>
      <w:r>
        <w:rPr>
          <w:bCs/>
          <w:b/>
        </w:rPr>
        <w:t xml:space="preserve">spectrum</w:t>
      </w:r>
      <w:r>
        <w:t xml:space="preserve">: what can mutations achieve?</w:t>
      </w:r>
    </w:p>
    <w:p>
      <w:pPr>
        <w:numPr>
          <w:ilvl w:val="0"/>
          <w:numId w:val="1001"/>
        </w:numPr>
        <w:pStyle w:val="Compact"/>
      </w:pPr>
      <w:r>
        <w:t xml:space="preserve">limiting factors in selection:</w:t>
      </w:r>
    </w:p>
    <w:p>
      <w:pPr>
        <w:numPr>
          <w:ilvl w:val="1"/>
          <w:numId w:val="1003"/>
        </w:numPr>
        <w:pStyle w:val="Compact"/>
      </w:pPr>
      <w:r>
        <w:t xml:space="preserve">selection differential</w:t>
      </w:r>
    </w:p>
    <w:p>
      <w:pPr>
        <w:numPr>
          <w:ilvl w:val="2"/>
          <w:numId w:val="1004"/>
        </w:numPr>
        <w:pStyle w:val="Compact"/>
      </w:pPr>
      <w:r>
        <w:t xml:space="preserve">benefits (= prob of encountering antibiotic × benefit of resistance)</w:t>
      </w:r>
    </w:p>
    <w:p>
      <w:pPr>
        <w:numPr>
          <w:ilvl w:val="2"/>
          <w:numId w:val="1004"/>
        </w:numPr>
        <w:pStyle w:val="Compact"/>
      </w:pPr>
      <w:r>
        <w:t xml:space="preserve">costs [metabolic/energetic; reduced efficiency]</w:t>
      </w:r>
    </w:p>
    <w:p>
      <w:pPr>
        <w:numPr>
          <w:ilvl w:val="3"/>
          <w:numId w:val="1005"/>
        </w:numPr>
        <w:pStyle w:val="Compact"/>
      </w:pPr>
      <w:r>
        <w:rPr>
          <w:bCs/>
          <w:b/>
        </w:rPr>
        <w:t xml:space="preserve">compensatory</w:t>
      </w:r>
      <w:r>
        <w:t xml:space="preserve"> </w:t>
      </w:r>
      <w:r>
        <w:t xml:space="preserve">mutations (reduce cost)</w:t>
      </w:r>
    </w:p>
    <w:p>
      <w:pPr>
        <w:numPr>
          <w:ilvl w:val="1"/>
          <w:numId w:val="1003"/>
        </w:numPr>
        <w:pStyle w:val="Compact"/>
      </w:pPr>
      <w:r>
        <w:t xml:space="preserve">pop size (drift vs selection; bottlenecks in between-host transmission)</w:t>
      </w:r>
    </w:p>
    <w:p>
      <w:pPr>
        <w:numPr>
          <w:ilvl w:val="1"/>
          <w:numId w:val="1003"/>
        </w:numPr>
        <w:pStyle w:val="Compact"/>
      </w:pPr>
      <w:r>
        <w:t xml:space="preserve">variation in selection (within- vs between-host)</w:t>
      </w:r>
    </w:p>
    <w:p>
      <w:pPr>
        <w:numPr>
          <w:ilvl w:val="1"/>
          <w:numId w:val="1003"/>
        </w:numPr>
        <w:pStyle w:val="Compact"/>
      </w:pPr>
      <w:r>
        <w:t xml:space="preserve">recombination and/or horizontal transmission via mobile elements (plasmids etc.)</w:t>
      </w:r>
    </w:p>
    <w:p>
      <w:pPr>
        <w:numPr>
          <w:ilvl w:val="0"/>
          <w:numId w:val="1001"/>
        </w:numPr>
        <w:pStyle w:val="Compact"/>
      </w:pPr>
      <w:r>
        <w:t xml:space="preserve">competition between susceptible and resistant strains</w:t>
      </w:r>
      <w:r>
        <w:t xml:space="preserve"> </w:t>
      </w:r>
      <w:r>
        <w:t xml:space="preserve">(Lipsitch &amp; Samore, 2002)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777761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pix/lipsitch_samore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77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4862043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pix/lipsitch_samore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62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resistant bacteria take over during treatment failure (within-host competition)</w:t>
      </w:r>
    </w:p>
    <w:p>
      <w:pPr>
        <w:numPr>
          <w:ilvl w:val="0"/>
          <w:numId w:val="1006"/>
        </w:numPr>
        <w:pStyle w:val="Compact"/>
      </w:pPr>
      <w:r>
        <w:t xml:space="preserve">resistant bacteria take advantage of reduced transmission by treated hosts (between-host)</w:t>
      </w:r>
    </w:p>
    <w:p>
      <w:pPr>
        <w:numPr>
          <w:ilvl w:val="0"/>
          <w:numId w:val="1006"/>
        </w:numPr>
        <w:pStyle w:val="Compact"/>
      </w:pPr>
      <w:r>
        <w:t xml:space="preserve">resistant bacteria colonize a treated host (empty patch)</w:t>
      </w:r>
    </w:p>
    <w:p>
      <w:pPr>
        <w:numPr>
          <w:ilvl w:val="0"/>
          <w:numId w:val="1006"/>
        </w:numPr>
        <w:pStyle w:val="Compact"/>
      </w:pPr>
      <w:r>
        <w:t xml:space="preserve">resistant bacteria take advantage of side effects (bystander effects)</w:t>
      </w:r>
    </w:p>
    <w:bookmarkEnd w:id="26"/>
    <w:bookmarkStart w:id="32" w:name="bacteria"/>
    <w:p>
      <w:pPr>
        <w:pStyle w:val="Heading1"/>
      </w:pPr>
      <w:r>
        <w:t xml:space="preserve">Bacteria</w:t>
      </w:r>
    </w:p>
    <w:bookmarkStart w:id="27" w:name="mechanisms"/>
    <w:p>
      <w:pPr>
        <w:pStyle w:val="Heading2"/>
      </w:pPr>
      <w:r>
        <w:t xml:space="preserve">Mechanisms</w:t>
      </w:r>
    </w:p>
    <w:p>
      <w:pPr>
        <w:numPr>
          <w:ilvl w:val="0"/>
          <w:numId w:val="1007"/>
        </w:numPr>
        <w:pStyle w:val="Compact"/>
      </w:pPr>
      <w:r>
        <w:t xml:space="preserve">because bacteria and animals are biochemically different, can use substances that disrupt bacterial but not animal metabolic processes</w:t>
      </w:r>
    </w:p>
    <w:p>
      <w:pPr>
        <w:numPr>
          <w:ilvl w:val="0"/>
          <w:numId w:val="1007"/>
        </w:numPr>
        <w:pStyle w:val="Compact"/>
      </w:pPr>
      <w:r>
        <w:t xml:space="preserve">many biologically derived</w:t>
      </w:r>
    </w:p>
    <w:p>
      <w:pPr>
        <w:numPr>
          <w:ilvl w:val="1"/>
          <w:numId w:val="1008"/>
        </w:numPr>
        <w:pStyle w:val="Compact"/>
      </w:pPr>
      <w:r>
        <w:t xml:space="preserve">fungi (penicillin!)</w:t>
      </w:r>
      <w:r>
        <w:t xml:space="preserve"> </w:t>
      </w:r>
      <w:r>
        <w:t xml:space="preserve">(Karwehl &amp; Stadler, 2016)</w:t>
      </w:r>
    </w:p>
    <w:p>
      <w:pPr>
        <w:numPr>
          <w:ilvl w:val="1"/>
          <w:numId w:val="1008"/>
        </w:numPr>
        <w:pStyle w:val="Compact"/>
      </w:pPr>
      <w:r>
        <w:t xml:space="preserve">soil bacteria (esp</w:t>
      </w:r>
      <w:r>
        <w:t xml:space="preserve"> </w:t>
      </w:r>
      <w:r>
        <w:rPr>
          <w:iCs/>
          <w:i/>
        </w:rPr>
        <w:t xml:space="preserve">Streptomyces</w:t>
      </w:r>
      <w:r>
        <w:t xml:space="preserve">; streptomycin, tetracycline)</w:t>
      </w:r>
    </w:p>
    <w:p>
      <w:pPr>
        <w:numPr>
          <w:ilvl w:val="1"/>
          <w:numId w:val="1008"/>
        </w:numPr>
        <w:pStyle w:val="Compact"/>
      </w:pPr>
      <w:r>
        <w:t xml:space="preserve">(also chemical/synthetic, e.g. derived from dyes -</w:t>
      </w:r>
      <w:r>
        <w:t xml:space="preserve"> </w:t>
      </w:r>
      <w:r>
        <w:rPr>
          <w:iCs/>
          <w:i/>
        </w:rPr>
        <w:t xml:space="preserve">sulfa drugs</w:t>
      </w:r>
      <w:r>
        <w:t xml:space="preserve">)</w:t>
      </w:r>
    </w:p>
    <w:p>
      <w:pPr>
        <w:numPr>
          <w:ilvl w:val="0"/>
          <w:numId w:val="1007"/>
        </w:numPr>
        <w:pStyle w:val="Compact"/>
      </w:pPr>
      <w:r>
        <w:t xml:space="preserve">because antibiotics have been around</w:t>
      </w:r>
      <w:r>
        <w:t xml:space="preserve"> </w:t>
      </w:r>
      <w:r>
        <w:t xml:space="preserve">“</w:t>
      </w:r>
      <w:r>
        <w:t xml:space="preserve">forever</w:t>
      </w:r>
      <w:r>
        <w:t xml:space="preserve">”</w:t>
      </w:r>
      <w:r>
        <w:t xml:space="preserve">, so has antibiotic resistance</w:t>
      </w:r>
      <w:r>
        <w:t xml:space="preserve"> </w:t>
      </w:r>
      <w:r>
        <w:t xml:space="preserve">(D’Costa et al., 2011)</w:t>
      </w:r>
    </w:p>
    <w:p>
      <w:pPr>
        <w:numPr>
          <w:ilvl w:val="1"/>
          <w:numId w:val="1009"/>
        </w:numPr>
        <w:pStyle w:val="Compact"/>
      </w:pPr>
      <w:r>
        <w:t xml:space="preserve">but presence</w:t>
      </w:r>
      <w:r>
        <w:t xml:space="preserve"> </w:t>
      </w:r>
      <w:r>
        <w:rPr>
          <w:bCs/>
          <w:b/>
        </w:rPr>
        <w:t xml:space="preserve">as mobile elements</w:t>
      </w:r>
      <w:r>
        <w:t xml:space="preserve"> </w:t>
      </w:r>
      <w:r>
        <w:t xml:space="preserve">may be recent, human/animal derived</w:t>
      </w:r>
      <w:r>
        <w:t xml:space="preserve"> </w:t>
      </w:r>
      <w:r>
        <w:t xml:space="preserve">(Ebmeyer et al., 2021)</w:t>
      </w:r>
    </w:p>
    <w:p>
      <w:pPr>
        <w:numPr>
          <w:ilvl w:val="1"/>
          <w:numId w:val="1009"/>
        </w:numPr>
        <w:pStyle w:val="Compact"/>
      </w:pPr>
      <w:r>
        <w:t xml:space="preserve">often present in antibiotic</w:t>
      </w:r>
      <w:r>
        <w:t xml:space="preserve"> </w:t>
      </w:r>
      <w:r>
        <w:rPr>
          <w:iCs/>
          <w:i/>
        </w:rPr>
        <w:t xml:space="preserve">producers</w:t>
      </w:r>
      <w:r>
        <w:t xml:space="preserve"> </w:t>
      </w:r>
      <w:r>
        <w:t xml:space="preserve">(Benveniste &amp; Davies, 1973)</w:t>
      </w:r>
    </w:p>
    <w:p>
      <w:pPr>
        <w:numPr>
          <w:ilvl w:val="0"/>
          <w:numId w:val="1007"/>
        </w:numPr>
        <w:pStyle w:val="Compact"/>
      </w:pPr>
      <w:r>
        <w:t xml:space="preserve">huge problem, e.g. mdrMRSA ([multi-drug resistant], methicillin-resistant</w:t>
      </w:r>
      <w:r>
        <w:t xml:space="preserve"> </w:t>
      </w:r>
      <w:r>
        <w:rPr>
          <w:iCs/>
          <w:i/>
        </w:rPr>
        <w:t xml:space="preserve">Staphylococcus aureus</w:t>
      </w:r>
      <w:r>
        <w:t xml:space="preserve">), extensively drug-resistant (XDR) tuberculosis</w:t>
      </w:r>
      <w:r>
        <w:t xml:space="preserve"> </w:t>
      </w:r>
      <w:r>
        <w:t xml:space="preserve">(Centers for Disease Control, 2020)</w:t>
      </w:r>
    </w:p>
    <w:p>
      <w:pPr>
        <w:numPr>
          <w:ilvl w:val="1"/>
          <w:numId w:val="1010"/>
        </w:numPr>
        <w:pStyle w:val="Compact"/>
      </w:pPr>
      <w:r>
        <w:t xml:space="preserve">threatens to wipe out disease cures …</w:t>
      </w:r>
    </w:p>
    <w:p>
      <w:pPr>
        <w:numPr>
          <w:ilvl w:val="0"/>
          <w:numId w:val="1007"/>
        </w:numPr>
        <w:pStyle w:val="Compact"/>
      </w:pPr>
      <w:r>
        <w:t xml:space="preserve">horizontal transfer is rampant</w:t>
      </w:r>
    </w:p>
    <w:p>
      <w:pPr>
        <w:numPr>
          <w:ilvl w:val="1"/>
          <w:numId w:val="1011"/>
        </w:numPr>
        <w:pStyle w:val="Compact"/>
      </w:pPr>
      <w:r>
        <w:t xml:space="preserve">resistance gene can be anywhere in the microbiome …</w:t>
      </w:r>
    </w:p>
    <w:p>
      <w:pPr>
        <w:numPr>
          <w:ilvl w:val="1"/>
          <w:numId w:val="1011"/>
        </w:numPr>
        <w:pStyle w:val="Compact"/>
      </w:pPr>
      <w:r>
        <w:rPr>
          <w:bCs/>
          <w:b/>
        </w:rPr>
        <w:t xml:space="preserve">collateral</w:t>
      </w:r>
      <w:r>
        <w:t xml:space="preserve"> </w:t>
      </w:r>
      <w:r>
        <w:t xml:space="preserve">or</w:t>
      </w:r>
      <w:r>
        <w:t xml:space="preserve"> </w:t>
      </w:r>
      <w:r>
        <w:rPr>
          <w:bCs/>
          <w:b/>
        </w:rPr>
        <w:t xml:space="preserve">non-target selection</w:t>
      </w:r>
      <w:r>
        <w:t xml:space="preserve"> </w:t>
      </w:r>
      <w:r>
        <w:t xml:space="preserve">(Llewelyn et al., 2017)</w:t>
      </w:r>
    </w:p>
    <w:p>
      <w:pPr>
        <w:numPr>
          <w:ilvl w:val="1"/>
          <w:numId w:val="1011"/>
        </w:numPr>
        <w:pStyle w:val="Compact"/>
      </w:pPr>
      <w:r>
        <w:t xml:space="preserve">also makes it easier to lose resistance when no longer required</w:t>
      </w:r>
    </w:p>
    <w:p>
      <w:pPr>
        <w:numPr>
          <w:ilvl w:val="1"/>
          <w:numId w:val="1011"/>
        </w:numPr>
        <w:pStyle w:val="Compact"/>
      </w:pPr>
      <w:r>
        <w:t xml:space="preserve">thus resistance is usually/often pre-existing</w:t>
      </w:r>
    </w:p>
    <w:p>
      <w:pPr>
        <w:numPr>
          <w:ilvl w:val="0"/>
          <w:numId w:val="1007"/>
        </w:numPr>
        <w:pStyle w:val="Compact"/>
      </w:pPr>
      <w:r>
        <w:t xml:space="preserve">mechanisms of action:</w:t>
      </w:r>
    </w:p>
    <w:p>
      <w:pPr>
        <w:numPr>
          <w:ilvl w:val="1"/>
          <w:numId w:val="1012"/>
        </w:numPr>
        <w:pStyle w:val="Compact"/>
      </w:pPr>
      <w:r>
        <w:t xml:space="preserve">pumps (</w:t>
      </w:r>
      <w:r>
        <w:t xml:space="preserve">“</w:t>
      </w:r>
      <w:r>
        <w:t xml:space="preserve">efflux system</w:t>
      </w:r>
      <w:r>
        <w:t xml:space="preserve">”</w:t>
      </w:r>
      <w:r>
        <w:t xml:space="preserve">: remove toxic substances from the cell)</w:t>
      </w:r>
    </w:p>
    <w:p>
      <w:pPr>
        <w:numPr>
          <w:ilvl w:val="1"/>
          <w:numId w:val="1012"/>
        </w:numPr>
        <w:pStyle w:val="Compact"/>
      </w:pPr>
      <w:r>
        <w:t xml:space="preserve">inactivation or degradation/detoxification</w:t>
      </w:r>
    </w:p>
    <w:p>
      <w:pPr>
        <w:numPr>
          <w:ilvl w:val="1"/>
          <w:numId w:val="1012"/>
        </w:numPr>
        <w:pStyle w:val="Compact"/>
      </w:pPr>
      <w:r>
        <w:t xml:space="preserve">altered pathways?</w:t>
      </w:r>
    </w:p>
    <w:p>
      <w:pPr>
        <w:numPr>
          <w:ilvl w:val="0"/>
          <w:numId w:val="1007"/>
        </w:numPr>
        <w:pStyle w:val="Compact"/>
      </w:pPr>
      <w:r>
        <w:t xml:space="preserve">antibiotics are</w:t>
      </w:r>
      <w:r>
        <w:t xml:space="preserve"> </w:t>
      </w:r>
      <w:r>
        <w:rPr>
          <w:iCs/>
          <w:i/>
        </w:rPr>
        <w:t xml:space="preserve">effectors</w:t>
      </w:r>
      <w:r>
        <w:t xml:space="preserve"> </w:t>
      </w:r>
      <w:r>
        <w:t xml:space="preserve">(not recognizers)</w:t>
      </w:r>
    </w:p>
    <w:p>
      <w:pPr>
        <w:numPr>
          <w:ilvl w:val="0"/>
          <w:numId w:val="1007"/>
        </w:numPr>
        <w:pStyle w:val="Compact"/>
      </w:pPr>
      <w:r>
        <w:t xml:space="preserve">cost of resistance; are resistance alleles lost or compensated in the absence of antibiotics?</w:t>
      </w:r>
      <w:r>
        <w:t xml:space="preserve"> </w:t>
      </w:r>
      <w:r>
        <w:t xml:space="preserve">(Bjorkholm et al., 2001; Levin et al., 2000)</w:t>
      </w:r>
    </w:p>
    <w:bookmarkEnd w:id="27"/>
    <w:bookmarkStart w:id="31" w:name="implications-for-antibiotic-use"/>
    <w:p>
      <w:pPr>
        <w:pStyle w:val="Heading2"/>
      </w:pPr>
      <w:r>
        <w:t xml:space="preserve">Implications for antibiotic use</w:t>
      </w:r>
    </w:p>
    <w:p>
      <w:pPr>
        <w:numPr>
          <w:ilvl w:val="0"/>
          <w:numId w:val="1013"/>
        </w:numPr>
        <w:pStyle w:val="Compact"/>
      </w:pPr>
      <w:r>
        <w:t xml:space="preserve">avoid overuse!</w:t>
      </w:r>
      <w:r>
        <w:t xml:space="preserve"> </w:t>
      </w:r>
      <w:r>
        <w:t xml:space="preserve">“</w:t>
      </w:r>
      <w:r>
        <w:t xml:space="preserve">antibiotic conservation</w:t>
      </w:r>
      <w:r>
        <w:t xml:space="preserve">”</w:t>
      </w:r>
    </w:p>
    <w:p>
      <w:pPr>
        <w:numPr>
          <w:ilvl w:val="0"/>
          <w:numId w:val="1013"/>
        </w:numPr>
        <w:pStyle w:val="Compact"/>
      </w:pPr>
      <w:r>
        <w:t xml:space="preserve">regulate agricultural use</w:t>
      </w:r>
    </w:p>
    <w:p>
      <w:pPr>
        <w:numPr>
          <w:ilvl w:val="1"/>
          <w:numId w:val="1014"/>
        </w:numPr>
        <w:pStyle w:val="Compact"/>
      </w:pPr>
      <w:r>
        <w:t xml:space="preserve">for human-to-human transmission, regulating agriculture may be too late once resistance is already established in humans</w:t>
      </w:r>
      <w:r>
        <w:t xml:space="preserve"> </w:t>
      </w:r>
      <w:r>
        <w:t xml:space="preserve">(Smith et al., 2002)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34000" cy="4713767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pix/smith_ar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13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5"/>
        </w:numPr>
        <w:pStyle w:val="Compact"/>
      </w:pPr>
      <w:r>
        <w:t xml:space="preserve">but regulation still helps with spillover infections</w:t>
      </w:r>
      <w:r>
        <w:t xml:space="preserve"> </w:t>
      </w:r>
      <w:r>
        <w:t xml:space="preserve">(Lipsitch et al., 2002)</w:t>
      </w:r>
    </w:p>
    <w:p>
      <w:pPr>
        <w:numPr>
          <w:ilvl w:val="0"/>
          <w:numId w:val="1013"/>
        </w:numPr>
        <w:pStyle w:val="Compact"/>
      </w:pPr>
      <w:r>
        <w:t xml:space="preserve">“</w:t>
      </w:r>
      <w:r>
        <w:t xml:space="preserve">the long-term benefit of single drug treatment from introduction of the antibiotic until a high frequency of resistance precludes its use is almost independent of the pattern of antibiotic use</w:t>
      </w:r>
      <w:r>
        <w:t xml:space="preserve">”</w:t>
      </w:r>
      <w:r>
        <w:t xml:space="preserve"> </w:t>
      </w:r>
      <w:r>
        <w:t xml:space="preserve">(Bonhoeffer, Lipsitch, et al., 1997)</w:t>
      </w:r>
    </w:p>
    <w:p>
      <w:pPr>
        <w:numPr>
          <w:ilvl w:val="0"/>
          <w:numId w:val="1013"/>
        </w:numPr>
        <w:pStyle w:val="Compact"/>
      </w:pPr>
      <w:r>
        <w:t xml:space="preserve">“</w:t>
      </w:r>
      <w:r>
        <w:t xml:space="preserve">cocktails</w:t>
      </w:r>
      <w:r>
        <w:t xml:space="preserve">”</w:t>
      </w:r>
      <w:r>
        <w:t xml:space="preserve"> </w:t>
      </w:r>
      <w:r>
        <w:t xml:space="preserve">may be best; varying treatments in space is better than cycling</w:t>
      </w:r>
      <w:r>
        <w:t xml:space="preserve"> </w:t>
      </w:r>
      <w:r>
        <w:t xml:space="preserve">(Bergstrom et al., 2004)</w:t>
      </w:r>
    </w:p>
    <w:p>
      <w:pPr>
        <w:numPr>
          <w:ilvl w:val="0"/>
          <w:numId w:val="1013"/>
        </w:numPr>
        <w:pStyle w:val="Compact"/>
      </w:pPr>
      <w:r>
        <w:t xml:space="preserve">treating for longer increases collateral selection</w:t>
      </w:r>
      <w:r>
        <w:t xml:space="preserve"> </w:t>
      </w:r>
      <w:r>
        <w:t xml:space="preserve">(Llewelyn et al., 2017)</w:t>
      </w:r>
    </w:p>
    <w:p>
      <w:pPr>
        <w:numPr>
          <w:ilvl w:val="0"/>
          <w:numId w:val="1013"/>
        </w:numPr>
        <w:pStyle w:val="Compact"/>
      </w:pPr>
      <w:r>
        <w:t xml:space="preserve">contrast: Tb (chronic disease, resistance from point mutations)</w:t>
      </w:r>
    </w:p>
    <w:bookmarkEnd w:id="31"/>
    <w:bookmarkEnd w:id="32"/>
    <w:bookmarkStart w:id="119" w:name="viruses"/>
    <w:p>
      <w:pPr>
        <w:pStyle w:val="Heading1"/>
      </w:pPr>
      <w:r>
        <w:t xml:space="preserve">Viruses</w:t>
      </w:r>
    </w:p>
    <w:p>
      <w:pPr>
        <w:numPr>
          <w:ilvl w:val="0"/>
          <w:numId w:val="1016"/>
        </w:numPr>
        <w:pStyle w:val="Compact"/>
      </w:pPr>
      <w:r>
        <w:t xml:space="preserve">similar biochemistry to hosts</w:t>
      </w:r>
    </w:p>
    <w:p>
      <w:pPr>
        <w:numPr>
          <w:ilvl w:val="1"/>
          <w:numId w:val="1017"/>
        </w:numPr>
        <w:pStyle w:val="Compact"/>
      </w:pPr>
      <w:r>
        <w:t xml:space="preserve">often fought by priming immune system, i.e. </w:t>
      </w:r>
      <w:r>
        <w:rPr>
          <w:iCs/>
          <w:i/>
        </w:rPr>
        <w:t xml:space="preserve">vaccination</w:t>
      </w:r>
    </w:p>
    <w:p>
      <w:pPr>
        <w:numPr>
          <w:ilvl w:val="1"/>
          <w:numId w:val="1017"/>
        </w:numPr>
        <w:pStyle w:val="Compact"/>
      </w:pPr>
      <w:r>
        <w:t xml:space="preserve">resistance via</w:t>
      </w:r>
      <w:r>
        <w:t xml:space="preserve"> </w:t>
      </w:r>
      <w:r>
        <w:rPr>
          <w:bCs/>
          <w:b/>
        </w:rPr>
        <w:t xml:space="preserve">recognition escape</w:t>
      </w:r>
      <w:r>
        <w:t xml:space="preserve"> </w:t>
      </w:r>
      <w:r>
        <w:t xml:space="preserve">rather than disabling effectors</w:t>
      </w:r>
    </w:p>
    <w:p>
      <w:pPr>
        <w:numPr>
          <w:ilvl w:val="1"/>
          <w:numId w:val="1017"/>
        </w:numPr>
        <w:pStyle w:val="Compact"/>
      </w:pPr>
      <w:r>
        <w:t xml:space="preserve">usually</w:t>
      </w:r>
      <w:r>
        <w:t xml:space="preserve"> </w:t>
      </w:r>
      <w:r>
        <w:rPr>
          <w:bCs/>
          <w:b/>
        </w:rPr>
        <w:t xml:space="preserve">strain replacement</w:t>
      </w:r>
      <w:r>
        <w:t xml:space="preserve"> </w:t>
      </w:r>
      <w:r>
        <w:t xml:space="preserve">rather than within-lineage selection on escape alleles</w:t>
      </w:r>
    </w:p>
    <w:p>
      <w:pPr>
        <w:numPr>
          <w:ilvl w:val="2"/>
          <w:numId w:val="1018"/>
        </w:numPr>
        <w:pStyle w:val="Compact"/>
      </w:pPr>
      <w:r>
        <w:t xml:space="preserve">horizontal transfer/lineage-mixing does happen via recombination (especially influenza, phages), but less typical</w:t>
      </w:r>
      <w:r>
        <w:t xml:space="preserve"> </w:t>
      </w:r>
      <w:r>
        <w:t xml:space="preserve">(Mavrich &amp; Hatfull, 2017; Wu et al., 2023)</w:t>
      </w:r>
    </w:p>
    <w:p>
      <w:pPr>
        <w:numPr>
          <w:ilvl w:val="0"/>
          <w:numId w:val="1016"/>
        </w:numPr>
        <w:pStyle w:val="Compact"/>
      </w:pPr>
      <w:r>
        <w:t xml:space="preserve">very high mutation rate</w:t>
      </w:r>
    </w:p>
    <w:p>
      <w:pPr>
        <w:numPr>
          <w:ilvl w:val="1"/>
          <w:numId w:val="1019"/>
        </w:numPr>
        <w:pStyle w:val="Compact"/>
      </w:pPr>
      <w:r>
        <w:rPr>
          <w:iCs/>
          <w:i/>
        </w:rPr>
        <w:t xml:space="preserve">de novo</w:t>
      </w:r>
      <w:r>
        <w:t xml:space="preserve"> </w:t>
      </w:r>
      <w:r>
        <w:t xml:space="preserve">mutation is a bigger problem</w:t>
      </w:r>
    </w:p>
    <w:p>
      <w:pPr>
        <w:numPr>
          <w:ilvl w:val="0"/>
          <w:numId w:val="1016"/>
        </w:numPr>
        <w:pStyle w:val="Compact"/>
      </w:pPr>
      <w:r>
        <w:t xml:space="preserve">HIV</w:t>
      </w:r>
    </w:p>
    <w:p>
      <w:pPr>
        <w:numPr>
          <w:ilvl w:val="1"/>
          <w:numId w:val="1020"/>
        </w:numPr>
        <w:pStyle w:val="Compact"/>
      </w:pPr>
      <w:r>
        <w:t xml:space="preserve">single-drug resistance evolves quickly</w:t>
      </w:r>
      <w:r>
        <w:t xml:space="preserve"> </w:t>
      </w:r>
      <w:r>
        <w:t xml:space="preserve">(Bonhoeffer, Coffin, et al., 1997)</w:t>
      </w:r>
    </w:p>
    <w:p>
      <w:pPr>
        <w:numPr>
          <w:ilvl w:val="1"/>
          <w:numId w:val="1020"/>
        </w:numPr>
        <w:pStyle w:val="Compact"/>
      </w:pPr>
      <w:r>
        <w:t xml:space="preserve">target non-host-like biochemistry: nucleoside and non-nucleoside resistance transcriptase inhibitors; protease, integrase inhibitors</w:t>
      </w:r>
    </w:p>
    <w:p>
      <w:pPr>
        <w:numPr>
          <w:ilvl w:val="1"/>
          <w:numId w:val="1020"/>
        </w:numPr>
        <w:pStyle w:val="Compact"/>
      </w:pPr>
      <w:r>
        <w:t xml:space="preserve">HAART</w:t>
      </w:r>
      <w:r>
        <w:t xml:space="preserve"> </w:t>
      </w:r>
      <w:r>
        <w:t xml:space="preserve">(Eggleton &amp; Nagalli, 2022)</w:t>
      </w:r>
      <w:r>
        <w:t xml:space="preserve">; e.g. standard South African regimen includes tenofovir, lamivudine (nucleotide analog), dolutegravir (integrase inhibitor)</w:t>
      </w:r>
      <w:r>
        <w:t xml:space="preserve"> </w:t>
      </w:r>
      <w:r>
        <w:t xml:space="preserve">(South Africa National Department of Health, 2019)</w:t>
      </w:r>
    </w:p>
    <w:p>
      <w:pPr>
        <w:numPr>
          <w:ilvl w:val="1"/>
          <w:numId w:val="1020"/>
        </w:numPr>
        <w:pStyle w:val="Compact"/>
      </w:pPr>
      <w:r>
        <w:t xml:space="preserve">keeping load low reduces transmission</w:t>
      </w:r>
      <w:r>
        <w:t xml:space="preserve"> </w:t>
      </w:r>
      <w:r>
        <w:rPr>
          <w:iCs/>
          <w:i/>
        </w:rPr>
        <w:t xml:space="preserve">and</w:t>
      </w:r>
      <w:r>
        <w:t xml:space="preserve"> </w:t>
      </w:r>
      <w:r>
        <w:t xml:space="preserve">within-host evolution of resistance</w:t>
      </w:r>
    </w:p>
    <w:p>
      <w:pPr>
        <w:numPr>
          <w:ilvl w:val="1"/>
          <w:numId w:val="1020"/>
        </w:numPr>
        <w:pStyle w:val="Compact"/>
      </w:pPr>
      <w:r>
        <w:t xml:space="preserve">between-host transmission maybe less important because of early infectivity</w:t>
      </w:r>
    </w:p>
    <w:p>
      <w:pPr>
        <w:numPr>
          <w:ilvl w:val="0"/>
          <w:numId w:val="1016"/>
        </w:numPr>
        <w:pStyle w:val="Compact"/>
      </w:pPr>
      <w:r>
        <w:t xml:space="preserve">strain replacement</w:t>
      </w:r>
    </w:p>
    <w:p>
      <w:pPr>
        <w:numPr>
          <w:ilvl w:val="1"/>
          <w:numId w:val="1021"/>
        </w:numPr>
        <w:pStyle w:val="Compact"/>
      </w:pPr>
      <w:r>
        <w:t xml:space="preserve">COVID-19! alpha, delta, omicron</w:t>
      </w:r>
      <w:r>
        <w:t xml:space="preserve"> </w:t>
      </w:r>
      <w:r>
        <w:t xml:space="preserve">(Ferguson et al., 2021)</w:t>
      </w:r>
    </w:p>
    <w:p>
      <w:pPr>
        <w:numPr>
          <w:ilvl w:val="1"/>
          <w:numId w:val="1021"/>
        </w:numPr>
        <w:pStyle w:val="Compact"/>
      </w:pPr>
      <w:r>
        <w:t xml:space="preserve">influenza, every year (</w:t>
      </w:r>
      <w:r>
        <w:rPr>
          <w:iCs/>
          <w:i/>
        </w:rPr>
        <w:t xml:space="preserve">antigenic drift</w:t>
      </w:r>
      <w:r>
        <w:t xml:space="preserve">)/pandemic (</w:t>
      </w:r>
      <w:r>
        <w:rPr>
          <w:iCs/>
          <w:i/>
        </w:rPr>
        <w:t xml:space="preserve">antigenic shift</w:t>
      </w:r>
      <w:r>
        <w:t xml:space="preserve">)</w:t>
      </w:r>
    </w:p>
    <w:p>
      <w:pPr>
        <w:numPr>
          <w:ilvl w:val="1"/>
          <w:numId w:val="1021"/>
        </w:numPr>
        <w:pStyle w:val="Compact"/>
      </w:pPr>
      <w:r>
        <w:t xml:space="preserve">other examples:</w:t>
      </w:r>
      <w:r>
        <w:t xml:space="preserve"> </w:t>
      </w:r>
      <w:r>
        <w:rPr>
          <w:iCs/>
          <w:i/>
        </w:rPr>
        <w:t xml:space="preserve">Haemophilus influenzae B</w:t>
      </w:r>
      <w:r>
        <w:t xml:space="preserve"> </w:t>
      </w:r>
      <w:r>
        <w:t xml:space="preserve">(Adam et al., 2010)</w:t>
      </w:r>
    </w:p>
    <w:p>
      <w:pPr>
        <w:numPr>
          <w:ilvl w:val="1"/>
          <w:numId w:val="1021"/>
        </w:numPr>
        <w:pStyle w:val="Compact"/>
      </w:pPr>
      <w:r>
        <w:t xml:space="preserve">human papilloma virus: maybe not?</w:t>
      </w:r>
      <w:r>
        <w:t xml:space="preserve"> </w:t>
      </w:r>
      <w:r>
        <w:t xml:space="preserve">(Covert et al., 2019; Man et al., 2021)</w:t>
      </w:r>
    </w:p>
    <w:p>
      <w:pPr>
        <w:numPr>
          <w:ilvl w:val="1"/>
          <w:numId w:val="1021"/>
        </w:numPr>
        <w:pStyle w:val="Compact"/>
      </w:pPr>
      <w:r>
        <w:rPr>
          <w:bCs/>
          <w:b/>
        </w:rPr>
        <w:t xml:space="preserve">not</w:t>
      </w:r>
      <w:r>
        <w:t xml:space="preserve">: smallpox (gone), rinderpest, chickenpox, measles, rubella</w:t>
      </w:r>
    </w:p>
    <w:p>
      <w:pPr>
        <w:numPr>
          <w:ilvl w:val="1"/>
          <w:numId w:val="1021"/>
        </w:numPr>
        <w:pStyle w:val="Compact"/>
      </w:pPr>
      <w:r>
        <w:t xml:space="preserve">importance of focusing on</w:t>
      </w:r>
      <w:r>
        <w:t xml:space="preserve"> </w:t>
      </w:r>
      <w:r>
        <w:rPr>
          <w:bCs/>
          <w:b/>
        </w:rPr>
        <w:t xml:space="preserve">conserved</w:t>
      </w:r>
      <w:r>
        <w:t xml:space="preserve"> </w:t>
      </w:r>
      <w:r>
        <w:t xml:space="preserve">viral</w:t>
      </w:r>
      <w:r>
        <w:t xml:space="preserve"> </w:t>
      </w:r>
      <w:r>
        <w:rPr>
          <w:bCs/>
          <w:b/>
        </w:rPr>
        <w:t xml:space="preserve">epitopes</w:t>
      </w:r>
      <w:r>
        <w:t xml:space="preserve">; universal flu vaccine?</w:t>
      </w:r>
      <w:r>
        <w:t xml:space="preserve"> </w:t>
      </w:r>
      <w:r>
        <w:t xml:space="preserve">(Wang et al., 2022)</w:t>
      </w:r>
      <w:r>
        <w:t xml:space="preserve"> </w:t>
      </w:r>
      <w:r>
        <w:t xml:space="preserve">(back to the</w:t>
      </w:r>
      <w:r>
        <w:t xml:space="preserve"> </w:t>
      </w:r>
      <w:r>
        <w:rPr>
          <w:iCs/>
          <w:i/>
        </w:rPr>
        <w:t xml:space="preserve">mutational spectrum</w:t>
      </w:r>
      <w:r>
        <w:t xml:space="preserve">)</w:t>
      </w:r>
    </w:p>
    <w:p>
      <w:pPr>
        <w:numPr>
          <w:ilvl w:val="0"/>
          <w:numId w:val="1022"/>
        </w:numPr>
        <w:pStyle w:val="Compact"/>
      </w:pPr>
      <w:r>
        <w:t xml:space="preserve">back to bacteria: vaccine-preventable</w:t>
      </w:r>
      <w:r>
        <w:t xml:space="preserve"> </w:t>
      </w:r>
      <w:r>
        <w:rPr>
          <w:iCs/>
          <w:i/>
        </w:rPr>
        <w:t xml:space="preserve">Bordetella pertussis</w:t>
      </w:r>
      <w:r>
        <w:t xml:space="preserve">, resurgence and evolution of immune evasion (?)</w:t>
      </w:r>
      <w:r>
        <w:t xml:space="preserve"> </w:t>
      </w:r>
      <w:r>
        <w:t xml:space="preserve">(van Gent et al., 2012)</w:t>
      </w:r>
    </w:p>
    <w:p>
      <w:pPr>
        <w:pStyle w:val="FirstParagraph"/>
      </w:pPr>
      <w:r>
        <w:t xml:space="preserve">(</w:t>
      </w:r>
      <w:r>
        <w:rPr>
          <w:bCs/>
          <w:b/>
        </w:rPr>
        <w:t xml:space="preserve">to be added, maybe</w:t>
      </w:r>
      <w:r>
        <w:t xml:space="preserve">)</w:t>
      </w:r>
    </w:p>
    <w:bookmarkStart w:id="34" w:name="malaria-control"/>
    <w:p>
      <w:pPr>
        <w:pStyle w:val="Heading2"/>
      </w:pPr>
      <w:r>
        <w:t xml:space="preserve">malaria control</w:t>
      </w:r>
    </w:p>
    <w:p>
      <w:pPr>
        <w:pStyle w:val="FirstParagraph"/>
      </w:pPr>
      <w:hyperlink r:id="rId33">
        <w:r>
          <w:rPr>
            <w:rStyle w:val="Hyperlink"/>
          </w:rPr>
          <w:t xml:space="preserve">Twitter</w:t>
        </w:r>
      </w:hyperlink>
      <w:r>
        <w:t xml:space="preserve">:</w:t>
      </w:r>
    </w:p>
    <w:p>
      <w:pPr>
        <w:pStyle w:val="BlockText"/>
      </w:pPr>
      <w:r>
        <w:t xml:space="preserve">reading various malaria documents that discuss having endemic malaria today despite spending ~$4.1B/yr, I always want to insert the comment,</w:t>
      </w:r>
      <w:r>
        <w:t xml:space="preserve"> </w:t>
      </w:r>
      <w:r>
        <w:t xml:space="preserve">“</w:t>
      </w:r>
      <w:r>
        <w:t xml:space="preserve">Well, WTF did you expect? No one who understands malaria believes elimination would be possible without spending at least $10B/yr</w:t>
      </w:r>
      <w:r>
        <w:t xml:space="preserve">”</w:t>
      </w:r>
    </w:p>
    <w:p>
      <w:pPr>
        <w:pStyle w:val="FirstParagraph"/>
      </w:pPr>
      <w:r>
        <w:t xml:space="preserve">Main components:</w:t>
      </w:r>
    </w:p>
    <w:p>
      <w:pPr>
        <w:numPr>
          <w:ilvl w:val="0"/>
          <w:numId w:val="1023"/>
        </w:numPr>
        <w:pStyle w:val="Compact"/>
      </w:pPr>
      <w:r>
        <w:t xml:space="preserve">antimalarial drugs</w:t>
      </w:r>
    </w:p>
    <w:p>
      <w:pPr>
        <w:numPr>
          <w:ilvl w:val="0"/>
          <w:numId w:val="1023"/>
        </w:numPr>
        <w:pStyle w:val="Compact"/>
      </w:pPr>
      <w:r>
        <w:t xml:space="preserve">vaccine (children only, max effectiveness</w:t>
      </w:r>
      <w:r>
        <w:t xml:space="preserve"> </w:t>
      </w:r>
      <m:oMath>
        <m:r>
          <m:rPr>
            <m:sty m:val="p"/>
          </m:rPr>
          <m:t>≈</m:t>
        </m:r>
      </m:oMath>
      <w:r>
        <w:t xml:space="preserve"> </w:t>
      </w:r>
      <w:r>
        <w:t xml:space="preserve">40%, safety concerns …)</w:t>
      </w:r>
      <w:r>
        <w:t xml:space="preserve"> </w:t>
      </w:r>
      <w:r>
        <w:t xml:space="preserve">(Jarry, 2021; Seo et al., 2014)</w:t>
      </w:r>
    </w:p>
    <w:p>
      <w:pPr>
        <w:numPr>
          <w:ilvl w:val="0"/>
          <w:numId w:val="1023"/>
        </w:numPr>
        <w:pStyle w:val="Compact"/>
      </w:pPr>
      <w:r>
        <w:t xml:space="preserve">vector control</w:t>
      </w:r>
    </w:p>
    <w:p>
      <w:pPr>
        <w:numPr>
          <w:ilvl w:val="1"/>
          <w:numId w:val="1024"/>
        </w:numPr>
        <w:pStyle w:val="Compact"/>
      </w:pPr>
      <w:r>
        <w:t xml:space="preserve">indoor residual spraying (lethality + avoidance)</w:t>
      </w:r>
    </w:p>
    <w:p>
      <w:pPr>
        <w:numPr>
          <w:ilvl w:val="1"/>
          <w:numId w:val="1024"/>
        </w:numPr>
        <w:pStyle w:val="Compact"/>
      </w:pPr>
      <w:r>
        <w:t xml:space="preserve">treated bednets (lethality + avoidance)</w:t>
      </w:r>
    </w:p>
    <w:p>
      <w:pPr>
        <w:numPr>
          <w:ilvl w:val="1"/>
          <w:numId w:val="1024"/>
        </w:numPr>
        <w:pStyle w:val="Compact"/>
      </w:pPr>
      <w:r>
        <w:t xml:space="preserve">biocontrol (e.g. </w:t>
      </w:r>
      <w:r>
        <w:rPr>
          <w:iCs/>
          <w:i/>
        </w:rPr>
        <w:t xml:space="preserve">Gambusia</w:t>
      </w:r>
      <w:r>
        <w:t xml:space="preserve">,</w:t>
      </w:r>
      <w:r>
        <w:t xml:space="preserve"> </w:t>
      </w:r>
      <w:r>
        <w:t xml:space="preserve">“</w:t>
      </w:r>
      <w:r>
        <w:t xml:space="preserve">mosquito fish</w:t>
      </w:r>
      <w:r>
        <w:t xml:space="preserve">”</w:t>
      </w:r>
      <w:r>
        <w:t xml:space="preserve">)</w:t>
      </w:r>
    </w:p>
    <w:p>
      <w:pPr>
        <w:numPr>
          <w:ilvl w:val="1"/>
          <w:numId w:val="1024"/>
        </w:numPr>
        <w:pStyle w:val="Compact"/>
      </w:pPr>
      <w:r>
        <w:t xml:space="preserve">improved housing?</w:t>
      </w:r>
      <w:r>
        <w:t xml:space="preserve"> </w:t>
      </w:r>
      <w:r>
        <w:t xml:space="preserve">(Musiime et al., 2022)</w:t>
      </w:r>
    </w:p>
    <w:bookmarkEnd w:id="34"/>
    <w:bookmarkStart w:id="41" w:name="malaria-resistance-to-antimalarial-drugs"/>
    <w:p>
      <w:pPr>
        <w:pStyle w:val="Heading2"/>
      </w:pPr>
      <w:r>
        <w:t xml:space="preserve">malaria resistance to antimalarial drugs</w:t>
      </w:r>
    </w:p>
    <w:p>
      <w:pPr>
        <w:numPr>
          <w:ilvl w:val="0"/>
          <w:numId w:val="1025"/>
        </w:numPr>
        <w:pStyle w:val="Compact"/>
      </w:pPr>
      <w:r>
        <w:t xml:space="preserve">protozoan parasite</w:t>
      </w:r>
    </w:p>
    <w:p>
      <w:pPr>
        <w:numPr>
          <w:ilvl w:val="0"/>
          <w:numId w:val="1025"/>
        </w:numPr>
        <w:pStyle w:val="Compact"/>
      </w:pPr>
      <w:r>
        <w:t xml:space="preserve">quinine, chloroquine</w:t>
      </w:r>
      <w:r>
        <w:t xml:space="preserve"> </w:t>
      </w:r>
      <w:r>
        <w:t xml:space="preserve">(Achan et al., 2011; Ashley et al., 2014)</w:t>
      </w:r>
    </w:p>
    <w:p>
      <w:pPr>
        <w:numPr>
          <w:ilvl w:val="0"/>
          <w:numId w:val="1025"/>
        </w:numPr>
        <w:pStyle w:val="Compact"/>
      </w:pPr>
      <w:r>
        <w:t xml:space="preserve">artemisinin (and combination therapy, ACT)</w:t>
      </w:r>
    </w:p>
    <w:p>
      <w:pPr>
        <w:pStyle w:val="FirstParagraph"/>
      </w:pPr>
      <w:r>
        <w:drawing>
          <wp:inline>
            <wp:extent cx="5334000" cy="680523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pix/artemisinin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805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From</w:t>
      </w:r>
      <w:r>
        <w:t xml:space="preserve"> </w:t>
      </w:r>
      <w:r>
        <w:t xml:space="preserve">Ashley et al. (2014)</w:t>
      </w:r>
    </w:p>
    <w:p>
      <w:pPr>
        <w:pStyle w:val="BodyText"/>
      </w:pPr>
      <w:r>
        <w:t xml:space="preserve">Rosenthal (2021)</w:t>
      </w:r>
      <w:r>
        <w:t xml:space="preserve">:</w:t>
      </w:r>
      <w:r>
        <w:t xml:space="preserve"> </w:t>
      </w:r>
      <w:r>
        <w:t xml:space="preserve">“</w:t>
      </w:r>
      <w:r>
        <w:t xml:space="preserve">Recent data suggest that we are on the verge of clinically meaningful artemisinin-resistance in Africa</w:t>
      </w:r>
      <w:r>
        <w:t xml:space="preserve">”</w:t>
      </w:r>
    </w:p>
    <w:p>
      <w:pPr>
        <w:pStyle w:val="BodyText"/>
      </w:pPr>
      <w:r>
        <w:drawing>
          <wp:inline>
            <wp:extent cx="5334000" cy="5151641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pix/artemisinin_resistanc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51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From</w:t>
      </w:r>
      <w:r>
        <w:t xml:space="preserve"> </w:t>
      </w:r>
      <w:r>
        <w:t xml:space="preserve">Imwong et al. (2017)</w:t>
      </w:r>
      <w:r>
        <w:t xml:space="preserve">. Red box=C580Y. Light blue box=wild type. Each row represents one parasite isolate; white cells indicate identical microsatellite alleles compared with the most frequent allele and dark blue cells indicate differences.</w:t>
      </w:r>
      <w:r>
        <w:t xml:space="preserve"> </w:t>
      </w:r>
      <w:r>
        <w:t xml:space="preserve">containment strategies: eliminate</w:t>
      </w:r>
      <w:r>
        <w:t xml:space="preserve"> </w:t>
      </w:r>
      <w:r>
        <w:rPr>
          <w:iCs/>
          <w:i/>
        </w:rPr>
        <w:t xml:space="preserve">falciparum</w:t>
      </w:r>
      <w:r>
        <w:t xml:space="preserve"> </w:t>
      </w:r>
      <w:r>
        <w:t xml:space="preserve">malaria from Greater Mekong region or</w:t>
      </w:r>
      <w:r>
        <w:t xml:space="preserve"> </w:t>
      </w:r>
      <w:r>
        <w:t xml:space="preserve">“</w:t>
      </w:r>
      <w:r>
        <w:t xml:space="preserve">firewall</w:t>
      </w:r>
      <w:r>
        <w:t xml:space="preserve">”</w:t>
      </w:r>
      <w:r>
        <w:t xml:space="preserve">?</w:t>
      </w:r>
    </w:p>
    <w:bookmarkEnd w:id="41"/>
    <w:bookmarkStart w:id="43" w:name="vectors-and-resistance-to-insecticides"/>
    <w:p>
      <w:pPr>
        <w:pStyle w:val="Heading2"/>
      </w:pPr>
      <w:r>
        <w:t xml:space="preserve">vectors and resistance to insecticides</w:t>
      </w:r>
    </w:p>
    <w:p>
      <w:pPr>
        <w:numPr>
          <w:ilvl w:val="0"/>
          <w:numId w:val="1026"/>
        </w:numPr>
        <w:pStyle w:val="Compact"/>
      </w:pPr>
      <w:r>
        <w:t xml:space="preserve">DDT</w:t>
      </w:r>
      <w:r>
        <w:t xml:space="preserve"> </w:t>
      </w:r>
      <w:hyperlink r:id="rId42">
        <w:r>
          <w:rPr>
            <w:rStyle w:val="Hyperlink"/>
          </w:rPr>
          <w:t xml:space="preserve">Wikipedia</w:t>
        </w:r>
      </w:hyperlink>
    </w:p>
    <w:p>
      <w:pPr>
        <w:numPr>
          <w:ilvl w:val="1"/>
          <w:numId w:val="1027"/>
        </w:numPr>
        <w:pStyle w:val="Compact"/>
      </w:pPr>
      <w:r>
        <w:t xml:space="preserve">environmental side effects</w:t>
      </w:r>
    </w:p>
    <w:p>
      <w:pPr>
        <w:numPr>
          <w:ilvl w:val="2"/>
          <w:numId w:val="1028"/>
        </w:numPr>
        <w:pStyle w:val="Compact"/>
      </w:pPr>
      <w:r>
        <w:t xml:space="preserve">fast evolution of resistance: 6-7 years</w:t>
      </w:r>
      <w:r>
        <w:t xml:space="preserve"> </w:t>
      </w:r>
      <w:r>
        <w:t xml:space="preserve">(Gladwell, 2001)</w:t>
      </w:r>
    </w:p>
    <w:p>
      <w:pPr>
        <w:numPr>
          <w:ilvl w:val="0"/>
          <w:numId w:val="1026"/>
        </w:numPr>
        <w:pStyle w:val="Compact"/>
      </w:pPr>
      <w:r>
        <w:t xml:space="preserve">other methods?</w:t>
      </w:r>
    </w:p>
    <w:p>
      <w:pPr>
        <w:numPr>
          <w:ilvl w:val="1"/>
          <w:numId w:val="1029"/>
        </w:numPr>
        <w:pStyle w:val="Compact"/>
      </w:pPr>
      <w:r>
        <w:t xml:space="preserve">sterile male release (irradiation,</w:t>
      </w:r>
      <w:r>
        <w:t xml:space="preserve"> </w:t>
      </w:r>
      <w:r>
        <w:rPr>
          <w:iCs/>
          <w:i/>
        </w:rPr>
        <w:t xml:space="preserve">Wolbachia</w:t>
      </w:r>
      <w:r>
        <w:t xml:space="preserve">)</w:t>
      </w:r>
      <w:r>
        <w:t xml:space="preserve"> </w:t>
      </w:r>
      <w:r>
        <w:t xml:space="preserve">(Atyame et al., 2016)</w:t>
      </w:r>
    </w:p>
    <w:p>
      <w:pPr>
        <w:numPr>
          <w:ilvl w:val="1"/>
          <w:numId w:val="1029"/>
        </w:numPr>
        <w:pStyle w:val="Compact"/>
      </w:pPr>
      <w:r>
        <w:rPr>
          <w:bCs/>
          <w:b/>
        </w:rPr>
        <w:t xml:space="preserve">gene drive</w:t>
      </w:r>
      <w:r>
        <w:t xml:space="preserve"> </w:t>
      </w:r>
      <w:r>
        <w:t xml:space="preserve">(Burt et al., 2018)</w:t>
      </w:r>
      <w:r>
        <w:t xml:space="preserve"> </w:t>
      </w:r>
      <w:r>
        <w:t xml:space="preserve">and/or bacterial infection</w:t>
      </w:r>
      <w:r>
        <w:t xml:space="preserve"> </w:t>
      </w:r>
      <w:r>
        <w:t xml:space="preserve">(Dennison et al., 2014)</w:t>
      </w:r>
    </w:p>
    <w:p>
      <w:pPr>
        <w:numPr>
          <w:ilvl w:val="2"/>
          <w:numId w:val="1030"/>
        </w:numPr>
        <w:pStyle w:val="Compact"/>
      </w:pPr>
      <w:r>
        <w:t xml:space="preserve">reduce vector competence</w:t>
      </w:r>
    </w:p>
    <w:p>
      <w:pPr>
        <w:numPr>
          <w:ilvl w:val="2"/>
          <w:numId w:val="1030"/>
        </w:numPr>
        <w:pStyle w:val="Compact"/>
      </w:pPr>
      <w:r>
        <w:t xml:space="preserve">shift sex ratios toward males</w:t>
      </w:r>
    </w:p>
    <w:p>
      <w:pPr>
        <w:numPr>
          <w:ilvl w:val="1"/>
          <w:numId w:val="1029"/>
        </w:numPr>
        <w:pStyle w:val="Compact"/>
      </w:pPr>
      <w:r>
        <w:t xml:space="preserve">evolution-resistant insecticides: shorten host life span</w:t>
      </w:r>
      <w:r>
        <w:t xml:space="preserve"> </w:t>
      </w:r>
      <w:r>
        <w:t xml:space="preserve">(Koella et al., 2009; McMeniman et al., 2009)</w:t>
      </w:r>
    </w:p>
    <w:p>
      <w:pPr>
        <w:numPr>
          <w:ilvl w:val="2"/>
          <w:numId w:val="1031"/>
        </w:numPr>
        <w:pStyle w:val="Compact"/>
      </w:pPr>
      <w:r>
        <w:t xml:space="preserve">weak selection against late-acting processes</w:t>
      </w:r>
      <w:r>
        <w:t xml:space="preserve"> </w:t>
      </w:r>
      <w:r>
        <w:t xml:space="preserve">(Medawar, 2019)</w:t>
      </w:r>
    </w:p>
    <w:p>
      <w:pPr>
        <w:numPr>
          <w:ilvl w:val="2"/>
          <w:numId w:val="1031"/>
        </w:numPr>
        <w:pStyle w:val="Compact"/>
      </w:pPr>
      <w:r>
        <w:t xml:space="preserve">late-acting insecticides (W. or fungal)</w:t>
      </w:r>
    </w:p>
    <w:p>
      <w:pPr>
        <w:numPr>
          <w:ilvl w:val="2"/>
          <w:numId w:val="1031"/>
        </w:numPr>
        <w:pStyle w:val="Compact"/>
      </w:pPr>
      <w:r>
        <w:t xml:space="preserve">larvicides: resistant phenotypes are smaller/short-lived</w:t>
      </w:r>
    </w:p>
    <w:bookmarkEnd w:id="43"/>
    <w:bookmarkStart w:id="118" w:name="references"/>
    <w:p>
      <w:pPr>
        <w:pStyle w:val="Heading2"/>
      </w:pPr>
      <w:r>
        <w:t xml:space="preserve">References</w:t>
      </w:r>
    </w:p>
    <w:bookmarkStart w:id="117" w:name="refs"/>
    <w:bookmarkStart w:id="45" w:name="ref-achan_quinine_2011"/>
    <w:p>
      <w:pPr>
        <w:pStyle w:val="Bibliography"/>
      </w:pPr>
      <w:r>
        <w:t xml:space="preserve">Achan, J., Talisuna, A. O., Erhart, A., Yeka, A., Tibenderana, J. K., Baliraine, F. N., Rosenthal, P. J., &amp; D’Alessandro, U. (2011). Quinine, an old anti-malarial drug in a modern world: Role in the treatment of malaria.</w:t>
      </w:r>
      <w:r>
        <w:t xml:space="preserve"> </w:t>
      </w:r>
      <w:r>
        <w:rPr>
          <w:iCs/>
          <w:i/>
        </w:rPr>
        <w:t xml:space="preserve">Malaria Journal</w:t>
      </w:r>
      <w:r>
        <w:t xml:space="preserve">,</w:t>
      </w:r>
      <w:r>
        <w:t xml:space="preserve"> </w:t>
      </w:r>
      <w:r>
        <w:rPr>
          <w:iCs/>
          <w:i/>
        </w:rPr>
        <w:t xml:space="preserve">10</w:t>
      </w:r>
      <w:r>
        <w:t xml:space="preserve">(1), 144.</w:t>
      </w:r>
      <w:r>
        <w:t xml:space="preserve"> </w:t>
      </w:r>
      <w:hyperlink r:id="rId44">
        <w:r>
          <w:rPr>
            <w:rStyle w:val="Hyperlink"/>
          </w:rPr>
          <w:t xml:space="preserve">https://doi.org/10.1186/1475-2875-10-144</w:t>
        </w:r>
      </w:hyperlink>
    </w:p>
    <w:bookmarkEnd w:id="45"/>
    <w:bookmarkStart w:id="47" w:name="ref-adam_changing_2010"/>
    <w:p>
      <w:pPr>
        <w:pStyle w:val="Bibliography"/>
      </w:pPr>
      <w:r>
        <w:t xml:space="preserve">Adam, H. J., Richardson, S. E., Jamieson, F. B., Rawte, P., Low, D. E., &amp; Fisman, D. N. (2010). Changing epidemiology of invasive</w:t>
      </w:r>
      <w:r>
        <w:t xml:space="preserve"> </w:t>
      </w:r>
      <w:r>
        <w:t xml:space="preserve">Haemophilus</w:t>
      </w:r>
      <w:r>
        <w:t xml:space="preserve"> </w:t>
      </w:r>
      <w:r>
        <w:t xml:space="preserve">influenzae in</w:t>
      </w:r>
      <w:r>
        <w:t xml:space="preserve"> </w:t>
      </w:r>
      <w:r>
        <w:t xml:space="preserve">Ontario</w:t>
      </w:r>
      <w:r>
        <w:t xml:space="preserve">,</w:t>
      </w:r>
      <w:r>
        <w:t xml:space="preserve"> </w:t>
      </w:r>
      <w:r>
        <w:t xml:space="preserve">Canada</w:t>
      </w:r>
      <w:r>
        <w:t xml:space="preserve">:</w:t>
      </w:r>
      <w:r>
        <w:t xml:space="preserve"> </w:t>
      </w:r>
      <w:r>
        <w:t xml:space="preserve">Evidence</w:t>
      </w:r>
      <w:r>
        <w:t xml:space="preserve"> </w:t>
      </w:r>
      <w:r>
        <w:t xml:space="preserve">for herd effects and strain replacement due to</w:t>
      </w:r>
      <w:r>
        <w:t xml:space="preserve"> </w:t>
      </w:r>
      <w:r>
        <w:t xml:space="preserve">Hib</w:t>
      </w:r>
      <w:r>
        <w:t xml:space="preserve"> </w:t>
      </w:r>
      <w:r>
        <w:t xml:space="preserve">vaccination.</w:t>
      </w:r>
      <w:r>
        <w:t xml:space="preserve"> </w:t>
      </w:r>
      <w:r>
        <w:rPr>
          <w:iCs/>
          <w:i/>
        </w:rPr>
        <w:t xml:space="preserve">Vaccine</w:t>
      </w:r>
      <w:r>
        <w:t xml:space="preserve">,</w:t>
      </w:r>
      <w:r>
        <w:t xml:space="preserve"> </w:t>
      </w:r>
      <w:r>
        <w:rPr>
          <w:iCs/>
          <w:i/>
        </w:rPr>
        <w:t xml:space="preserve">28</w:t>
      </w:r>
      <w:r>
        <w:t xml:space="preserve">(24), 4073–4078.</w:t>
      </w:r>
      <w:r>
        <w:t xml:space="preserve"> </w:t>
      </w:r>
      <w:hyperlink r:id="rId46">
        <w:r>
          <w:rPr>
            <w:rStyle w:val="Hyperlink"/>
          </w:rPr>
          <w:t xml:space="preserve">https://doi.org/10.1016/j.vaccine.2010.03.075</w:t>
        </w:r>
      </w:hyperlink>
    </w:p>
    <w:bookmarkEnd w:id="47"/>
    <w:bookmarkStart w:id="49" w:name="ref-ashley_spread_2014"/>
    <w:p>
      <w:pPr>
        <w:pStyle w:val="Bibliography"/>
      </w:pPr>
      <w:r>
        <w:t xml:space="preserve">Ashley, E. A., Dhorda, M., Fairhurst, R. M., Amaratunga, C., Lim, P., Suon, S., Sreng, S., Anderson, J. M., Mao, S., Sam, B., Sopha, C., Chuor, C. M., Nguon, C., Sovannaroth, S., Pukrittayakamee, S., Jittamala, P., Chotivanich, K., Chutasmit, K., Suchatsoonthorn, C., … White, N. J. (2014). Spread of</w:t>
      </w:r>
      <w:r>
        <w:t xml:space="preserve"> </w:t>
      </w:r>
      <w:r>
        <w:t xml:space="preserve">Artemisinin</w:t>
      </w:r>
      <w:r>
        <w:t xml:space="preserve"> </w:t>
      </w:r>
      <w:r>
        <w:t xml:space="preserve">Resistance</w:t>
      </w:r>
      <w:r>
        <w:t xml:space="preserve"> </w:t>
      </w:r>
      <w:r>
        <w:t xml:space="preserve">in</w:t>
      </w:r>
      <w:r>
        <w:t xml:space="preserve"> </w:t>
      </w:r>
      <w:r>
        <w:t xml:space="preserve">Plasmodium</w:t>
      </w:r>
      <w:r>
        <w:t xml:space="preserve"> </w:t>
      </w:r>
      <w:r>
        <w:t xml:space="preserve">falciparum</w:t>
      </w:r>
      <w:r>
        <w:t xml:space="preserve"> </w:t>
      </w:r>
      <w:r>
        <w:t xml:space="preserve">Malaria</w:t>
      </w:r>
      <w:r>
        <w:t xml:space="preserve">.</w:t>
      </w:r>
      <w:r>
        <w:t xml:space="preserve"> </w:t>
      </w:r>
      <w:r>
        <w:rPr>
          <w:iCs/>
          <w:i/>
        </w:rPr>
        <w:t xml:space="preserve">New England Journal of Medicine</w:t>
      </w:r>
      <w:r>
        <w:t xml:space="preserve">,</w:t>
      </w:r>
      <w:r>
        <w:t xml:space="preserve"> </w:t>
      </w:r>
      <w:r>
        <w:rPr>
          <w:iCs/>
          <w:i/>
        </w:rPr>
        <w:t xml:space="preserve">371</w:t>
      </w:r>
      <w:r>
        <w:t xml:space="preserve">(5), 411–423.</w:t>
      </w:r>
      <w:r>
        <w:t xml:space="preserve"> </w:t>
      </w:r>
      <w:hyperlink r:id="rId48">
        <w:r>
          <w:rPr>
            <w:rStyle w:val="Hyperlink"/>
          </w:rPr>
          <w:t xml:space="preserve">https://doi.org/10.1056/NEJMoa1314981</w:t>
        </w:r>
      </w:hyperlink>
    </w:p>
    <w:bookmarkEnd w:id="49"/>
    <w:bookmarkStart w:id="51" w:name="ref-atyame_comparison_2016"/>
    <w:p>
      <w:pPr>
        <w:pStyle w:val="Bibliography"/>
      </w:pPr>
      <w:r>
        <w:t xml:space="preserve">Atyame, C. M., Labbé, P., Lebon, C., Weill, M., Moretti, R., Marini, F., Gouagna, L. C., Calvitti, M., &amp; Tortosa, P. (2016). Comparison of irradiation and</w:t>
      </w:r>
      <w:r>
        <w:t xml:space="preserve"> </w:t>
      </w:r>
      <w:r>
        <w:t xml:space="preserve">Wolbachia</w:t>
      </w:r>
      <w:r>
        <w:t xml:space="preserve"> </w:t>
      </w:r>
      <w:r>
        <w:t xml:space="preserve">based approaches for sterile-male strategies targeting</w:t>
      </w:r>
      <w:r>
        <w:t xml:space="preserve"> </w:t>
      </w:r>
      <w:r>
        <w:rPr>
          <w:iCs/>
          <w:i/>
        </w:rPr>
        <w:t xml:space="preserve">Aedes albopictus</w:t>
      </w:r>
      <w:r>
        <w:t xml:space="preserve">.</w:t>
      </w:r>
      <w:r>
        <w:t xml:space="preserve"> </w:t>
      </w:r>
      <w:r>
        <w:rPr>
          <w:iCs/>
          <w:i/>
        </w:rPr>
        <w:t xml:space="preserve">PLOS ONE</w:t>
      </w:r>
      <w:r>
        <w:t xml:space="preserve">,</w:t>
      </w:r>
      <w:r>
        <w:t xml:space="preserve"> </w:t>
      </w:r>
      <w:r>
        <w:rPr>
          <w:iCs/>
          <w:i/>
        </w:rPr>
        <w:t xml:space="preserve">11</w:t>
      </w:r>
      <w:r>
        <w:t xml:space="preserve">(1), e0146834.</w:t>
      </w:r>
      <w:r>
        <w:t xml:space="preserve"> </w:t>
      </w:r>
      <w:hyperlink r:id="rId50">
        <w:r>
          <w:rPr>
            <w:rStyle w:val="Hyperlink"/>
          </w:rPr>
          <w:t xml:space="preserve">https://doi.org/10.1371/journal.pone.0146834</w:t>
        </w:r>
      </w:hyperlink>
    </w:p>
    <w:bookmarkEnd w:id="51"/>
    <w:bookmarkStart w:id="53" w:name="ref-benveniste_aminoglycoside_1973"/>
    <w:p>
      <w:pPr>
        <w:pStyle w:val="Bibliography"/>
      </w:pPr>
      <w:r>
        <w:t xml:space="preserve">Benveniste, R., &amp; Davies, J. (1973). Aminoglycoside</w:t>
      </w:r>
      <w:r>
        <w:t xml:space="preserve"> </w:t>
      </w:r>
      <w:r>
        <w:t xml:space="preserve">Antibiotic</w:t>
      </w:r>
      <w:r>
        <w:t xml:space="preserve">-</w:t>
      </w:r>
      <w:r>
        <w:t xml:space="preserve">Inactivating</w:t>
      </w:r>
      <w:r>
        <w:t xml:space="preserve"> </w:t>
      </w:r>
      <w:r>
        <w:t xml:space="preserve">Enzymes</w:t>
      </w:r>
      <w:r>
        <w:t xml:space="preserve"> </w:t>
      </w:r>
      <w:r>
        <w:t xml:space="preserve">in</w:t>
      </w:r>
      <w:r>
        <w:t xml:space="preserve"> </w:t>
      </w:r>
      <w:r>
        <w:t xml:space="preserve">Actinomycetes</w:t>
      </w:r>
      <w:r>
        <w:t xml:space="preserve"> </w:t>
      </w:r>
      <w:r>
        <w:t xml:space="preserve">Similar</w:t>
      </w:r>
      <w:r>
        <w:t xml:space="preserve"> </w:t>
      </w:r>
      <w:r>
        <w:t xml:space="preserve">to</w:t>
      </w:r>
      <w:r>
        <w:t xml:space="preserve"> </w:t>
      </w:r>
      <w:r>
        <w:t xml:space="preserve">Those</w:t>
      </w:r>
      <w:r>
        <w:t xml:space="preserve"> </w:t>
      </w:r>
      <w:r>
        <w:t xml:space="preserve">Present</w:t>
      </w:r>
      <w:r>
        <w:t xml:space="preserve"> </w:t>
      </w:r>
      <w:r>
        <w:t xml:space="preserve">in</w:t>
      </w:r>
      <w:r>
        <w:t xml:space="preserve"> </w:t>
      </w:r>
      <w:r>
        <w:t xml:space="preserve">Clinical</w:t>
      </w:r>
      <w:r>
        <w:t xml:space="preserve"> </w:t>
      </w:r>
      <w:r>
        <w:t xml:space="preserve">Isolates</w:t>
      </w:r>
      <w:r>
        <w:t xml:space="preserve"> </w:t>
      </w:r>
      <w:r>
        <w:t xml:space="preserve">of</w:t>
      </w:r>
      <w:r>
        <w:t xml:space="preserve"> </w:t>
      </w:r>
      <w:r>
        <w:t xml:space="preserve">Antibiotic</w:t>
      </w:r>
      <w:r>
        <w:t xml:space="preserve">-</w:t>
      </w:r>
      <w:r>
        <w:t xml:space="preserve">Resistant</w:t>
      </w:r>
      <w:r>
        <w:t xml:space="preserve"> </w:t>
      </w:r>
      <w:r>
        <w:t xml:space="preserve">Bacteria</w:t>
      </w:r>
      <w:r>
        <w:t xml:space="preserve">.</w:t>
      </w:r>
      <w:r>
        <w:t xml:space="preserve"> </w:t>
      </w:r>
      <w:r>
        <w:rPr>
          <w:iCs/>
          <w:i/>
        </w:rPr>
        <w:t xml:space="preserve">Proceedings of the National Academy of Sciences</w:t>
      </w:r>
      <w:r>
        <w:t xml:space="preserve">,</w:t>
      </w:r>
      <w:r>
        <w:t xml:space="preserve"> </w:t>
      </w:r>
      <w:r>
        <w:rPr>
          <w:iCs/>
          <w:i/>
        </w:rPr>
        <w:t xml:space="preserve">70</w:t>
      </w:r>
      <w:r>
        <w:t xml:space="preserve">(8), 2276–2280.</w:t>
      </w:r>
      <w:r>
        <w:t xml:space="preserve"> </w:t>
      </w:r>
      <w:hyperlink r:id="rId52">
        <w:r>
          <w:rPr>
            <w:rStyle w:val="Hyperlink"/>
          </w:rPr>
          <w:t xml:space="preserve">https://doi.org/10.1073/pnas.70.8.2276</w:t>
        </w:r>
      </w:hyperlink>
    </w:p>
    <w:bookmarkEnd w:id="53"/>
    <w:bookmarkStart w:id="55" w:name="ref-bergstrom_ecological_2004"/>
    <w:p>
      <w:pPr>
        <w:pStyle w:val="Bibliography"/>
      </w:pPr>
      <w:r>
        <w:t xml:space="preserve">Bergstrom, C. T., Lo, M., &amp; Lipsitch, M. (2004). Ecological theory suggests that antimicrobial cycling will not reduce antimicrobial resistance in hospitals.</w:t>
      </w:r>
      <w:r>
        <w:t xml:space="preserve"> </w:t>
      </w:r>
      <w:r>
        <w:rPr>
          <w:iCs/>
          <w:i/>
        </w:rPr>
        <w:t xml:space="preserve">Proceedings of the National Academy of Sciences</w:t>
      </w:r>
      <w:r>
        <w:t xml:space="preserve">,</w:t>
      </w:r>
      <w:r>
        <w:t xml:space="preserve"> </w:t>
      </w:r>
      <w:r>
        <w:rPr>
          <w:iCs/>
          <w:i/>
        </w:rPr>
        <w:t xml:space="preserve">101</w:t>
      </w:r>
      <w:r>
        <w:t xml:space="preserve">(36), 13285–13290.</w:t>
      </w:r>
      <w:r>
        <w:t xml:space="preserve"> </w:t>
      </w:r>
      <w:hyperlink r:id="rId54">
        <w:r>
          <w:rPr>
            <w:rStyle w:val="Hyperlink"/>
          </w:rPr>
          <w:t xml:space="preserve">https://doi.org/10.1073/pnas.0402298101</w:t>
        </w:r>
      </w:hyperlink>
    </w:p>
    <w:bookmarkEnd w:id="55"/>
    <w:bookmarkStart w:id="57" w:name="ref-bjorkholm_mutation_2001"/>
    <w:p>
      <w:pPr>
        <w:pStyle w:val="Bibliography"/>
      </w:pPr>
      <w:r>
        <w:t xml:space="preserve">Bjorkholm, B., Sjölund, M., Falk, P. G., Berg, O. G., Engstrand, L., &amp; Andersson, D. I. (2001). Mutation frequency and biological cost of antibiotic resistance in</w:t>
      </w:r>
      <w:r>
        <w:t xml:space="preserve"> </w:t>
      </w:r>
      <w:r>
        <w:t xml:space="preserve">Helicobacter</w:t>
      </w:r>
      <w:r>
        <w:t xml:space="preserve"> </w:t>
      </w:r>
      <w:r>
        <w:t xml:space="preserve">pylori.</w:t>
      </w:r>
      <w:r>
        <w:t xml:space="preserve"> </w:t>
      </w:r>
      <w:r>
        <w:rPr>
          <w:iCs/>
          <w:i/>
        </w:rPr>
        <w:t xml:space="preserve">Proceedings of the National Academy of Sciences of the United States of America</w:t>
      </w:r>
      <w:r>
        <w:t xml:space="preserve">,</w:t>
      </w:r>
      <w:r>
        <w:t xml:space="preserve"> </w:t>
      </w:r>
      <w:r>
        <w:rPr>
          <w:iCs/>
          <w:i/>
        </w:rPr>
        <w:t xml:space="preserve">98</w:t>
      </w:r>
      <w:r>
        <w:t xml:space="preserve">(25), 14607–14612.</w:t>
      </w:r>
      <w:r>
        <w:t xml:space="preserve"> </w:t>
      </w:r>
      <w:hyperlink r:id="rId56">
        <w:r>
          <w:rPr>
            <w:rStyle w:val="Hyperlink"/>
          </w:rPr>
          <w:t xml:space="preserve">https://doi.org/10.1073/pnas.241517298</w:t>
        </w:r>
      </w:hyperlink>
    </w:p>
    <w:bookmarkEnd w:id="57"/>
    <w:bookmarkStart w:id="59" w:name="ref-bonhoeffer_human_1997"/>
    <w:p>
      <w:pPr>
        <w:pStyle w:val="Bibliography"/>
      </w:pPr>
      <w:r>
        <w:t xml:space="preserve">Bonhoeffer, S., Coffin, J. M., &amp; Nowak, M. A. (1997). Human immunodeficiency virus drug therapy and virus load.</w:t>
      </w:r>
      <w:r>
        <w:t xml:space="preserve"> </w:t>
      </w:r>
      <w:r>
        <w:rPr>
          <w:iCs/>
          <w:i/>
        </w:rPr>
        <w:t xml:space="preserve">Journal of Virology</w:t>
      </w:r>
      <w:r>
        <w:t xml:space="preserve">,</w:t>
      </w:r>
      <w:r>
        <w:t xml:space="preserve"> </w:t>
      </w:r>
      <w:r>
        <w:rPr>
          <w:iCs/>
          <w:i/>
        </w:rPr>
        <w:t xml:space="preserve">71</w:t>
      </w:r>
      <w:r>
        <w:t xml:space="preserve">(4), 3275–3278.</w:t>
      </w:r>
      <w:r>
        <w:t xml:space="preserve"> </w:t>
      </w:r>
      <w:hyperlink r:id="rId58">
        <w:r>
          <w:rPr>
            <w:rStyle w:val="Hyperlink"/>
          </w:rPr>
          <w:t xml:space="preserve">http://www.ncbi.nlm.nih.gov/pmc/articles/PMC191463/</w:t>
        </w:r>
      </w:hyperlink>
    </w:p>
    <w:bookmarkEnd w:id="59"/>
    <w:bookmarkStart w:id="61" w:name="ref-bonhoeffer_evaluating_1997"/>
    <w:p>
      <w:pPr>
        <w:pStyle w:val="Bibliography"/>
      </w:pPr>
      <w:r>
        <w:t xml:space="preserve">Bonhoeffer, S., Lipsitch, M., &amp; Levin, B. R. (1997). Evaluating treatment protocols to prevent antibiotic resistance.</w:t>
      </w:r>
      <w:r>
        <w:t xml:space="preserve"> </w:t>
      </w:r>
      <w:r>
        <w:rPr>
          <w:iCs/>
          <w:i/>
        </w:rPr>
        <w:t xml:space="preserve">Proceedings of the National Academy of Sciences</w:t>
      </w:r>
      <w:r>
        <w:t xml:space="preserve">,</w:t>
      </w:r>
      <w:r>
        <w:t xml:space="preserve"> </w:t>
      </w:r>
      <w:r>
        <w:rPr>
          <w:iCs/>
          <w:i/>
        </w:rPr>
        <w:t xml:space="preserve">94</w:t>
      </w:r>
      <w:r>
        <w:t xml:space="preserve">(22), 12106–12111.</w:t>
      </w:r>
      <w:r>
        <w:t xml:space="preserve"> </w:t>
      </w:r>
      <w:hyperlink r:id="rId60">
        <w:r>
          <w:rPr>
            <w:rStyle w:val="Hyperlink"/>
          </w:rPr>
          <w:t xml:space="preserve">https://doi.org/10.1073/pnas.94.22.12106</w:t>
        </w:r>
      </w:hyperlink>
    </w:p>
    <w:bookmarkEnd w:id="61"/>
    <w:bookmarkStart w:id="63" w:name="ref-burt_gene_2018"/>
    <w:p>
      <w:pPr>
        <w:pStyle w:val="Bibliography"/>
      </w:pPr>
      <w:r>
        <w:t xml:space="preserve">Burt, A., Coulibaly, M., Crisanti, A., Diabate, A., &amp; Kayondo, J. K. (2018). Gene drive to reduce malaria transmission in sub-</w:t>
      </w:r>
      <w:r>
        <w:t xml:space="preserve">Saharan</w:t>
      </w:r>
      <w:r>
        <w:t xml:space="preserve"> </w:t>
      </w:r>
      <w:r>
        <w:t xml:space="preserve">Africa</w:t>
      </w:r>
      <w:r>
        <w:t xml:space="preserve">.</w:t>
      </w:r>
      <w:r>
        <w:t xml:space="preserve"> </w:t>
      </w:r>
      <w:r>
        <w:rPr>
          <w:iCs/>
          <w:i/>
        </w:rPr>
        <w:t xml:space="preserve">Journal of Responsible Innovation</w:t>
      </w:r>
      <w:r>
        <w:t xml:space="preserve">,</w:t>
      </w:r>
      <w:r>
        <w:t xml:space="preserve"> </w:t>
      </w:r>
      <w:r>
        <w:rPr>
          <w:iCs/>
          <w:i/>
        </w:rPr>
        <w:t xml:space="preserve">5</w:t>
      </w:r>
      <w:r>
        <w:t xml:space="preserve">(sup1), S66–S80.</w:t>
      </w:r>
      <w:r>
        <w:t xml:space="preserve"> </w:t>
      </w:r>
      <w:hyperlink r:id="rId62">
        <w:r>
          <w:rPr>
            <w:rStyle w:val="Hyperlink"/>
          </w:rPr>
          <w:t xml:space="preserve">https://doi.org/10.1080/23299460.2017.1419410</w:t>
        </w:r>
      </w:hyperlink>
    </w:p>
    <w:bookmarkEnd w:id="63"/>
    <w:bookmarkStart w:id="65" w:name="ref-CDC_extensively_2020"/>
    <w:p>
      <w:pPr>
        <w:pStyle w:val="Bibliography"/>
      </w:pPr>
      <w:r>
        <w:t xml:space="preserve">Centers for Disease Control. (2020).</w:t>
      </w:r>
      <w:r>
        <w:t xml:space="preserve"> </w:t>
      </w:r>
      <w:r>
        <w:rPr>
          <w:iCs/>
          <w:i/>
        </w:rPr>
        <w:t xml:space="preserve">Extensively</w:t>
      </w:r>
      <w:r>
        <w:rPr>
          <w:iCs/>
          <w:i/>
        </w:rPr>
        <w:t xml:space="preserve"> </w:t>
      </w:r>
      <w:r>
        <w:rPr>
          <w:iCs/>
          <w:i/>
        </w:rPr>
        <w:t xml:space="preserve">Drug</w:t>
      </w:r>
      <w:r>
        <w:rPr>
          <w:iCs/>
          <w:i/>
        </w:rPr>
        <w:t xml:space="preserve">-</w:t>
      </w:r>
      <w:r>
        <w:rPr>
          <w:iCs/>
          <w:i/>
        </w:rPr>
        <w:t xml:space="preserve">Resistant</w:t>
      </w:r>
      <w:r>
        <w:rPr>
          <w:iCs/>
          <w:i/>
        </w:rPr>
        <w:t xml:space="preserve"> </w:t>
      </w:r>
      <w:r>
        <w:rPr>
          <w:iCs/>
          <w:i/>
        </w:rPr>
        <w:t xml:space="preserve">Tuberculosis</w:t>
      </w:r>
      <w:r>
        <w:rPr>
          <w:iCs/>
          <w:i/>
        </w:rPr>
        <w:t xml:space="preserve"> </w:t>
      </w:r>
      <w:r>
        <w:rPr>
          <w:iCs/>
          <w:i/>
        </w:rPr>
        <w:t xml:space="preserve">(</w:t>
      </w:r>
      <w:r>
        <w:rPr>
          <w:iCs/>
          <w:i/>
        </w:rPr>
        <w:t xml:space="preserve">XDR</w:t>
      </w:r>
      <w:r>
        <w:rPr>
          <w:iCs/>
          <w:i/>
        </w:rPr>
        <w:t xml:space="preserve"> </w:t>
      </w:r>
      <w:r>
        <w:rPr>
          <w:iCs/>
          <w:i/>
        </w:rPr>
        <w:t xml:space="preserve">TB</w:t>
      </w:r>
      <w:r>
        <w:rPr>
          <w:iCs/>
          <w:i/>
        </w:rPr>
        <w:t xml:space="preserve">)</w:t>
      </w:r>
      <w:r>
        <w:t xml:space="preserve">.</w:t>
      </w:r>
      <w:r>
        <w:t xml:space="preserve"> </w:t>
      </w:r>
      <w:hyperlink r:id="rId64">
        <w:r>
          <w:rPr>
            <w:rStyle w:val="Hyperlink"/>
          </w:rPr>
          <w:t xml:space="preserve">https://www.cdc.gov/tb/publications/factsheets/drtb/xdrtb.htm</w:t>
        </w:r>
      </w:hyperlink>
    </w:p>
    <w:bookmarkEnd w:id="65"/>
    <w:bookmarkStart w:id="66" w:name="ref-covert_evidence_2019"/>
    <w:p>
      <w:pPr>
        <w:pStyle w:val="Bibliography"/>
      </w:pPr>
      <w:r>
        <w:t xml:space="preserve">Covert, C., Ding, L., Brown, D., Franco, E. L., Bernstein, D. I., &amp; Kahn, J. A. (2019). Evidence for cross-protection but not type-replacement over the 11 years after human papillomavirus vaccine introduction.</w:t>
      </w:r>
      <w:r>
        <w:t xml:space="preserve"> </w:t>
      </w:r>
      <w:r>
        <w:rPr>
          <w:iCs/>
          <w:i/>
        </w:rPr>
        <w:t xml:space="preserve">Human Vaccines &amp; Immunotherapeutics</w:t>
      </w:r>
      <w:r>
        <w:t xml:space="preserve">.</w:t>
      </w:r>
    </w:p>
    <w:bookmarkEnd w:id="66"/>
    <w:bookmarkStart w:id="68" w:name="ref-dcosta_antibiotic_2011"/>
    <w:p>
      <w:pPr>
        <w:pStyle w:val="Bibliography"/>
      </w:pPr>
      <w:r>
        <w:t xml:space="preserve">D’Costa, V. M., King, C. E., Kalan, L., Morar, M., Sung, W. W. L., Schwarz, C., Froese, D., Zazula, G., Calmels, F., Debruyne, R., Golding, G. B., Poinar, H. N., &amp; Wright, G. D. (2011). Antibiotic resistance is ancient.</w:t>
      </w:r>
      <w:r>
        <w:t xml:space="preserve"> </w:t>
      </w:r>
      <w:r>
        <w:rPr>
          <w:iCs/>
          <w:i/>
        </w:rPr>
        <w:t xml:space="preserve">Nature</w:t>
      </w:r>
      <w:r>
        <w:t xml:space="preserve">,</w:t>
      </w:r>
      <w:r>
        <w:t xml:space="preserve"> </w:t>
      </w:r>
      <w:r>
        <w:rPr>
          <w:iCs/>
          <w:i/>
        </w:rPr>
        <w:t xml:space="preserve">477</w:t>
      </w:r>
      <w:r>
        <w:t xml:space="preserve">(7365), 457–461.</w:t>
      </w:r>
      <w:r>
        <w:t xml:space="preserve"> </w:t>
      </w:r>
      <w:hyperlink r:id="rId67">
        <w:r>
          <w:rPr>
            <w:rStyle w:val="Hyperlink"/>
          </w:rPr>
          <w:t xml:space="preserve">https://doi.org/10.1038/nature10388</w:t>
        </w:r>
      </w:hyperlink>
    </w:p>
    <w:bookmarkEnd w:id="68"/>
    <w:bookmarkStart w:id="70" w:name="ref-dennison_mosquito_2014"/>
    <w:p>
      <w:pPr>
        <w:pStyle w:val="Bibliography"/>
      </w:pPr>
      <w:r>
        <w:t xml:space="preserve">Dennison, N. J., Jupatanakul, N., &amp; Dimopoulos, G. (2014). The mosquito microbiota influences vector competence for human pathogens.</w:t>
      </w:r>
      <w:r>
        <w:t xml:space="preserve"> </w:t>
      </w:r>
      <w:r>
        <w:rPr>
          <w:iCs/>
          <w:i/>
        </w:rPr>
        <w:t xml:space="preserve">Current Opinion in Insect Science</w:t>
      </w:r>
      <w:r>
        <w:t xml:space="preserve">,</w:t>
      </w:r>
      <w:r>
        <w:t xml:space="preserve"> </w:t>
      </w:r>
      <w:r>
        <w:rPr>
          <w:iCs/>
          <w:i/>
        </w:rPr>
        <w:t xml:space="preserve">3</w:t>
      </w:r>
      <w:r>
        <w:t xml:space="preserve">, 6–13.</w:t>
      </w:r>
      <w:r>
        <w:t xml:space="preserve"> </w:t>
      </w:r>
      <w:hyperlink r:id="rId69">
        <w:r>
          <w:rPr>
            <w:rStyle w:val="Hyperlink"/>
          </w:rPr>
          <w:t xml:space="preserve">https://doi.org/10.1016/j.cois.2014.07.004</w:t>
        </w:r>
      </w:hyperlink>
    </w:p>
    <w:bookmarkEnd w:id="70"/>
    <w:bookmarkStart w:id="72" w:name="ref-ebmeyer_framework_2021"/>
    <w:p>
      <w:pPr>
        <w:pStyle w:val="Bibliography"/>
      </w:pPr>
      <w:r>
        <w:t xml:space="preserve">Ebmeyer, S., Kristiansson, E., &amp; Larsson, D. G. J. (2021). A framework for identifying the recent origins of mobile antibiotic resistance genes.</w:t>
      </w:r>
      <w:r>
        <w:t xml:space="preserve"> </w:t>
      </w:r>
      <w:r>
        <w:rPr>
          <w:iCs/>
          <w:i/>
        </w:rPr>
        <w:t xml:space="preserve">Communications Biology</w:t>
      </w:r>
      <w:r>
        <w:t xml:space="preserve">,</w:t>
      </w:r>
      <w:r>
        <w:t xml:space="preserve"> </w:t>
      </w:r>
      <w:r>
        <w:rPr>
          <w:iCs/>
          <w:i/>
        </w:rPr>
        <w:t xml:space="preserve">4</w:t>
      </w:r>
      <w:r>
        <w:t xml:space="preserve">(1), 1–10.</w:t>
      </w:r>
      <w:r>
        <w:t xml:space="preserve"> </w:t>
      </w:r>
      <w:hyperlink r:id="rId71">
        <w:r>
          <w:rPr>
            <w:rStyle w:val="Hyperlink"/>
          </w:rPr>
          <w:t xml:space="preserve">https://doi.org/10.1038/s42003-020-01545-5</w:t>
        </w:r>
      </w:hyperlink>
    </w:p>
    <w:bookmarkEnd w:id="72"/>
    <w:bookmarkStart w:id="74" w:name="ref-eggleton_highly_2022"/>
    <w:p>
      <w:pPr>
        <w:pStyle w:val="Bibliography"/>
      </w:pPr>
      <w:r>
        <w:t xml:space="preserve">Eggleton, J. S., &amp; Nagalli, S. (2022). Highly</w:t>
      </w:r>
      <w:r>
        <w:t xml:space="preserve"> </w:t>
      </w:r>
      <w:r>
        <w:t xml:space="preserve">Active</w:t>
      </w:r>
      <w:r>
        <w:t xml:space="preserve"> </w:t>
      </w:r>
      <w:r>
        <w:t xml:space="preserve">Antiretroviral</w:t>
      </w:r>
      <w:r>
        <w:t xml:space="preserve"> </w:t>
      </w:r>
      <w:r>
        <w:t xml:space="preserve">Therapy</w:t>
      </w:r>
      <w:r>
        <w:t xml:space="preserve"> </w:t>
      </w:r>
      <w:r>
        <w:t xml:space="preserve">(</w:t>
      </w:r>
      <w:r>
        <w:t xml:space="preserve">HAART</w:t>
      </w:r>
      <w:r>
        <w:t xml:space="preserve">). In</w:t>
      </w:r>
      <w:r>
        <w:t xml:space="preserve"> </w:t>
      </w:r>
      <w:r>
        <w:rPr>
          <w:iCs/>
          <w:i/>
        </w:rPr>
        <w:t xml:space="preserve">StatPearls</w:t>
      </w:r>
      <w:r>
        <w:t xml:space="preserve">. StatPearls Publishing.</w:t>
      </w:r>
      <w:r>
        <w:t xml:space="preserve"> </w:t>
      </w:r>
      <w:hyperlink r:id="rId73">
        <w:r>
          <w:rPr>
            <w:rStyle w:val="Hyperlink"/>
          </w:rPr>
          <w:t xml:space="preserve">http://www.ncbi.nlm.nih.gov/books/NBK554533/</w:t>
        </w:r>
      </w:hyperlink>
    </w:p>
    <w:bookmarkEnd w:id="74"/>
    <w:bookmarkStart w:id="76" w:name="ref-ferguson_report_2021"/>
    <w:p>
      <w:pPr>
        <w:pStyle w:val="Bibliography"/>
      </w:pPr>
      <w:r>
        <w:t xml:space="preserve">Ferguson, N., Ghani, A., Cori, A., Hogan, A., Hinsley, W., &amp; Volz, E. (2021). Report 49 -</w:t>
      </w:r>
      <w:r>
        <w:t xml:space="preserve"> </w:t>
      </w:r>
      <w:r>
        <w:t xml:space="preserve">Growth</w:t>
      </w:r>
      <w:r>
        <w:t xml:space="preserve">, population distribution and immune escape of</w:t>
      </w:r>
      <w:r>
        <w:t xml:space="preserve"> </w:t>
      </w:r>
      <w:r>
        <w:t xml:space="preserve">Omicron</w:t>
      </w:r>
      <w:r>
        <w:t xml:space="preserve"> </w:t>
      </w:r>
      <w:r>
        <w:t xml:space="preserve">in</w:t>
      </w:r>
      <w:r>
        <w:t xml:space="preserve"> </w:t>
      </w:r>
      <w:r>
        <w:t xml:space="preserve">England</w:t>
      </w:r>
      <w:r>
        <w:t xml:space="preserve">. In</w:t>
      </w:r>
      <w:r>
        <w:t xml:space="preserve"> </w:t>
      </w:r>
      <w:r>
        <w:rPr>
          <w:iCs/>
          <w:i/>
        </w:rPr>
        <w:t xml:space="preserve">Imperial College London</w:t>
      </w:r>
      <w:r>
        <w:t xml:space="preserve">.</w:t>
      </w:r>
      <w:r>
        <w:t xml:space="preserve"> </w:t>
      </w:r>
      <w:hyperlink r:id="rId75">
        <w:r>
          <w:rPr>
            <w:rStyle w:val="Hyperlink"/>
          </w:rPr>
          <w:t xml:space="preserve">http://www.imperial.ac.uk/medicine/departments/school-public-health/infectious-disease-epidemiology/mrc-global-infectious-disease-analysis/covid-19/report-49-omicron/</w:t>
        </w:r>
      </w:hyperlink>
    </w:p>
    <w:bookmarkEnd w:id="76"/>
    <w:bookmarkStart w:id="78" w:name="ref-gladwell_mosquito_2001"/>
    <w:p>
      <w:pPr>
        <w:pStyle w:val="Bibliography"/>
      </w:pPr>
      <w:r>
        <w:t xml:space="preserve">Gladwell, M. (2001). The</w:t>
      </w:r>
      <w:r>
        <w:t xml:space="preserve"> </w:t>
      </w:r>
      <w:r>
        <w:t xml:space="preserve">Mosquito</w:t>
      </w:r>
      <w:r>
        <w:t xml:space="preserve"> </w:t>
      </w:r>
      <w:r>
        <w:t xml:space="preserve">Killer</w:t>
      </w:r>
      <w:r>
        <w:t xml:space="preserve">.</w:t>
      </w:r>
      <w:r>
        <w:t xml:space="preserve"> </w:t>
      </w:r>
      <w:r>
        <w:rPr>
          <w:iCs/>
          <w:i/>
        </w:rPr>
        <w:t xml:space="preserve">The New Yorker</w:t>
      </w:r>
      <w:r>
        <w:t xml:space="preserve">.</w:t>
      </w:r>
      <w:r>
        <w:t xml:space="preserve"> </w:t>
      </w:r>
      <w:hyperlink r:id="rId77">
        <w:r>
          <w:rPr>
            <w:rStyle w:val="Hyperlink"/>
          </w:rPr>
          <w:t xml:space="preserve">https://web.archive.org/web/20160416165010/http://gladwell.com/the-mosquito-killer/</w:t>
        </w:r>
      </w:hyperlink>
    </w:p>
    <w:bookmarkEnd w:id="78"/>
    <w:bookmarkStart w:id="80" w:name="ref-imwongSpread2017a"/>
    <w:p>
      <w:pPr>
        <w:pStyle w:val="Bibliography"/>
      </w:pPr>
      <w:r>
        <w:t xml:space="preserve">Imwong, M., Suwannasin, K., Kunasol, C., Sutawong, K., Mayxay, M., Rekol, H., Smithuis, F. M., Hlaing, T. M., Tun, K. M., Pluijm, R. W. van der, Tripura, R., Miotto, O., Menard, D., Dhorda, M., Day, N. P. J., White, N. J., &amp; Dondorp, A. M. (2017). The spread of artemisinin-resistant</w:t>
      </w:r>
      <w:r>
        <w:t xml:space="preserve"> </w:t>
      </w:r>
      <w:r>
        <w:t xml:space="preserve">Plasmodium</w:t>
      </w:r>
      <w:r>
        <w:t xml:space="preserve"> </w:t>
      </w:r>
      <w:r>
        <w:t xml:space="preserve">falciparum in the</w:t>
      </w:r>
      <w:r>
        <w:t xml:space="preserve"> </w:t>
      </w:r>
      <w:r>
        <w:t xml:space="preserve">Greater Mekong</w:t>
      </w:r>
      <w:r>
        <w:t xml:space="preserve"> </w:t>
      </w:r>
      <w:r>
        <w:t xml:space="preserve">subregion: A molecular epidemiology observational study.</w:t>
      </w:r>
      <w:r>
        <w:t xml:space="preserve"> </w:t>
      </w:r>
      <w:r>
        <w:rPr>
          <w:iCs/>
          <w:i/>
        </w:rPr>
        <w:t xml:space="preserve">The Lancet Infectious Diseases</w:t>
      </w:r>
      <w:r>
        <w:t xml:space="preserve">,</w:t>
      </w:r>
      <w:r>
        <w:t xml:space="preserve"> </w:t>
      </w:r>
      <w:r>
        <w:rPr>
          <w:iCs/>
          <w:i/>
        </w:rPr>
        <w:t xml:space="preserve">17</w:t>
      </w:r>
      <w:r>
        <w:t xml:space="preserve">(5), 491–497.</w:t>
      </w:r>
      <w:r>
        <w:t xml:space="preserve"> </w:t>
      </w:r>
      <w:hyperlink r:id="rId79">
        <w:r>
          <w:rPr>
            <w:rStyle w:val="Hyperlink"/>
          </w:rPr>
          <w:t xml:space="preserve">https://doi.org/10.1016/S1473-3099(17)30048-8</w:t>
        </w:r>
      </w:hyperlink>
    </w:p>
    <w:bookmarkEnd w:id="80"/>
    <w:bookmarkStart w:id="82" w:name="ref-jarry_malaria_2021"/>
    <w:p>
      <w:pPr>
        <w:pStyle w:val="Bibliography"/>
      </w:pPr>
      <w:r>
        <w:t xml:space="preserve">Jarry, J. (2021). The</w:t>
      </w:r>
      <w:r>
        <w:t xml:space="preserve"> </w:t>
      </w:r>
      <w:r>
        <w:t xml:space="preserve">Malaria</w:t>
      </w:r>
      <w:r>
        <w:t xml:space="preserve"> </w:t>
      </w:r>
      <w:r>
        <w:t xml:space="preserve">Vaccine</w:t>
      </w:r>
      <w:r>
        <w:t xml:space="preserve">’s</w:t>
      </w:r>
      <w:r>
        <w:t xml:space="preserve"> </w:t>
      </w:r>
      <w:r>
        <w:t xml:space="preserve">Success</w:t>
      </w:r>
      <w:r>
        <w:t xml:space="preserve"> </w:t>
      </w:r>
      <w:r>
        <w:t xml:space="preserve">Story</w:t>
      </w:r>
      <w:r>
        <w:t xml:space="preserve"> </w:t>
      </w:r>
      <w:r>
        <w:t xml:space="preserve">Hides</w:t>
      </w:r>
      <w:r>
        <w:t xml:space="preserve"> </w:t>
      </w:r>
      <w:r>
        <w:t xml:space="preserve">Legitimate</w:t>
      </w:r>
      <w:r>
        <w:t xml:space="preserve"> </w:t>
      </w:r>
      <w:r>
        <w:t xml:space="preserve">Concerns</w:t>
      </w:r>
      <w:r>
        <w:t xml:space="preserve">. In</w:t>
      </w:r>
      <w:r>
        <w:t xml:space="preserve"> </w:t>
      </w:r>
      <w:r>
        <w:rPr>
          <w:iCs/>
          <w:i/>
        </w:rPr>
        <w:t xml:space="preserve">McGill University Office for Science and Society</w:t>
      </w:r>
      <w:r>
        <w:t xml:space="preserve">.</w:t>
      </w:r>
      <w:r>
        <w:t xml:space="preserve"> </w:t>
      </w:r>
      <w:hyperlink r:id="rId81">
        <w:r>
          <w:rPr>
            <w:rStyle w:val="Hyperlink"/>
          </w:rPr>
          <w:t xml:space="preserve">https://www.mcgill.ca/oss/article/health-and-nutrition/malaria-vaccines-success-story-hides-legitimate-concerns</w:t>
        </w:r>
      </w:hyperlink>
    </w:p>
    <w:bookmarkEnd w:id="82"/>
    <w:bookmarkStart w:id="84" w:name="ref-karwehl_exploitation_2016"/>
    <w:p>
      <w:pPr>
        <w:pStyle w:val="Bibliography"/>
      </w:pPr>
      <w:r>
        <w:t xml:space="preserve">Karwehl, S., &amp; Stadler, M. (2016). Exploitation of</w:t>
      </w:r>
      <w:r>
        <w:t xml:space="preserve"> </w:t>
      </w:r>
      <w:r>
        <w:t xml:space="preserve">Fungal</w:t>
      </w:r>
      <w:r>
        <w:t xml:space="preserve"> </w:t>
      </w:r>
      <w:r>
        <w:t xml:space="preserve">Biodiversity</w:t>
      </w:r>
      <w:r>
        <w:t xml:space="preserve"> </w:t>
      </w:r>
      <w:r>
        <w:t xml:space="preserve">for</w:t>
      </w:r>
      <w:r>
        <w:t xml:space="preserve"> </w:t>
      </w:r>
      <w:r>
        <w:t xml:space="preserve">Discovery</w:t>
      </w:r>
      <w:r>
        <w:t xml:space="preserve"> </w:t>
      </w:r>
      <w:r>
        <w:t xml:space="preserve">of</w:t>
      </w:r>
      <w:r>
        <w:t xml:space="preserve"> </w:t>
      </w:r>
      <w:r>
        <w:t xml:space="preserve">Novel</w:t>
      </w:r>
      <w:r>
        <w:t xml:space="preserve"> </w:t>
      </w:r>
      <w:r>
        <w:t xml:space="preserve">Antibiotics</w:t>
      </w:r>
      <w:r>
        <w:t xml:space="preserve">. In M. Stadler &amp; P. Dersch (Eds.),</w:t>
      </w:r>
      <w:r>
        <w:t xml:space="preserve"> </w:t>
      </w:r>
      <w:r>
        <w:rPr>
          <w:iCs/>
          <w:i/>
        </w:rPr>
        <w:t xml:space="preserve">How to</w:t>
      </w:r>
      <w:r>
        <w:rPr>
          <w:iCs/>
          <w:i/>
        </w:rPr>
        <w:t xml:space="preserve"> </w:t>
      </w:r>
      <w:r>
        <w:rPr>
          <w:iCs/>
          <w:i/>
        </w:rPr>
        <w:t xml:space="preserve">Overcome</w:t>
      </w:r>
      <w:r>
        <w:rPr>
          <w:iCs/>
          <w:i/>
        </w:rPr>
        <w:t xml:space="preserve"> </w:t>
      </w:r>
      <w:r>
        <w:rPr>
          <w:iCs/>
          <w:i/>
        </w:rPr>
        <w:t xml:space="preserve">the</w:t>
      </w:r>
      <w:r>
        <w:rPr>
          <w:iCs/>
          <w:i/>
        </w:rPr>
        <w:t xml:space="preserve"> </w:t>
      </w:r>
      <w:r>
        <w:rPr>
          <w:iCs/>
          <w:i/>
        </w:rPr>
        <w:t xml:space="preserve">Antibiotic</w:t>
      </w:r>
      <w:r>
        <w:rPr>
          <w:iCs/>
          <w:i/>
        </w:rPr>
        <w:t xml:space="preserve"> </w:t>
      </w:r>
      <w:r>
        <w:rPr>
          <w:iCs/>
          <w:i/>
        </w:rPr>
        <w:t xml:space="preserve">Crisis</w:t>
      </w:r>
      <w:r>
        <w:rPr>
          <w:iCs/>
          <w:i/>
        </w:rPr>
        <w:t xml:space="preserve"> </w:t>
      </w:r>
      <w:r>
        <w:rPr>
          <w:iCs/>
          <w:i/>
        </w:rPr>
        <w:t xml:space="preserve">:</w:t>
      </w:r>
      <w:r>
        <w:rPr>
          <w:iCs/>
          <w:i/>
        </w:rPr>
        <w:t xml:space="preserve"> </w:t>
      </w:r>
      <w:r>
        <w:rPr>
          <w:iCs/>
          <w:i/>
        </w:rPr>
        <w:t xml:space="preserve">Facts</w:t>
      </w:r>
      <w:r>
        <w:rPr>
          <w:iCs/>
          <w:i/>
        </w:rPr>
        <w:t xml:space="preserve">,</w:t>
      </w:r>
      <w:r>
        <w:rPr>
          <w:iCs/>
          <w:i/>
        </w:rPr>
        <w:t xml:space="preserve"> </w:t>
      </w:r>
      <w:r>
        <w:rPr>
          <w:iCs/>
          <w:i/>
        </w:rPr>
        <w:t xml:space="preserve">Challenges</w:t>
      </w:r>
      <w:r>
        <w:rPr>
          <w:iCs/>
          <w:i/>
        </w:rPr>
        <w:t xml:space="preserve">,</w:t>
      </w:r>
      <w:r>
        <w:rPr>
          <w:iCs/>
          <w:i/>
        </w:rPr>
        <w:t xml:space="preserve"> </w:t>
      </w:r>
      <w:r>
        <w:rPr>
          <w:iCs/>
          <w:i/>
        </w:rPr>
        <w:t xml:space="preserve">Technologies</w:t>
      </w:r>
      <w:r>
        <w:rPr>
          <w:iCs/>
          <w:i/>
        </w:rPr>
        <w:t xml:space="preserve"> </w:t>
      </w:r>
      <w:r>
        <w:rPr>
          <w:iCs/>
          <w:i/>
        </w:rPr>
        <w:t xml:space="preserve">and</w:t>
      </w:r>
      <w:r>
        <w:rPr>
          <w:iCs/>
          <w:i/>
        </w:rPr>
        <w:t xml:space="preserve"> </w:t>
      </w:r>
      <w:r>
        <w:rPr>
          <w:iCs/>
          <w:i/>
        </w:rPr>
        <w:t xml:space="preserve">Future</w:t>
      </w:r>
      <w:r>
        <w:rPr>
          <w:iCs/>
          <w:i/>
        </w:rPr>
        <w:t xml:space="preserve"> </w:t>
      </w:r>
      <w:r>
        <w:rPr>
          <w:iCs/>
          <w:i/>
        </w:rPr>
        <w:t xml:space="preserve">Perspectives</w:t>
      </w:r>
      <w:r>
        <w:t xml:space="preserve"> </w:t>
      </w:r>
      <w:r>
        <w:t xml:space="preserve">(pp. 303–338). Springer International Publishing.</w:t>
      </w:r>
      <w:r>
        <w:t xml:space="preserve"> </w:t>
      </w:r>
      <w:hyperlink r:id="rId83">
        <w:r>
          <w:rPr>
            <w:rStyle w:val="Hyperlink"/>
          </w:rPr>
          <w:t xml:space="preserve">https://doi.org/10.1007/82_2016_496</w:t>
        </w:r>
      </w:hyperlink>
    </w:p>
    <w:bookmarkEnd w:id="84"/>
    <w:bookmarkStart w:id="86" w:name="ref-koella_towards_2009"/>
    <w:p>
      <w:pPr>
        <w:pStyle w:val="Bibliography"/>
      </w:pPr>
      <w:r>
        <w:t xml:space="preserve">Koella, J. C., Lynch, P. A., Thomas, M. B., &amp; Read, A. F. (2009). Towards evolution-proof malaria control with insecticides.</w:t>
      </w:r>
      <w:r>
        <w:t xml:space="preserve"> </w:t>
      </w:r>
      <w:r>
        <w:rPr>
          <w:iCs/>
          <w:i/>
        </w:rPr>
        <w:t xml:space="preserve">Evolutionary Applications</w:t>
      </w:r>
      <w:r>
        <w:t xml:space="preserve">,</w:t>
      </w:r>
      <w:r>
        <w:t xml:space="preserve"> </w:t>
      </w:r>
      <w:r>
        <w:rPr>
          <w:iCs/>
          <w:i/>
        </w:rPr>
        <w:t xml:space="preserve">2</w:t>
      </w:r>
      <w:r>
        <w:t xml:space="preserve">(4), 469–480.</w:t>
      </w:r>
      <w:r>
        <w:t xml:space="preserve"> </w:t>
      </w:r>
      <w:hyperlink r:id="rId85">
        <w:r>
          <w:rPr>
            <w:rStyle w:val="Hyperlink"/>
          </w:rPr>
          <w:t xml:space="preserve">https://doi.org/10.1111/j.1752-4571.2009.00072.x</w:t>
        </w:r>
      </w:hyperlink>
    </w:p>
    <w:bookmarkEnd w:id="86"/>
    <w:bookmarkStart w:id="87" w:name="ref-levin_compensatory_2000-1"/>
    <w:p>
      <w:pPr>
        <w:pStyle w:val="Bibliography"/>
      </w:pPr>
      <w:r>
        <w:t xml:space="preserve">Levin, B. R., Perrot, V., &amp; Walker, N. (2000). Compensatory mutations, antibiotic resistance and the population genetics of adaptive evolution in bacteria.</w:t>
      </w:r>
      <w:r>
        <w:t xml:space="preserve"> </w:t>
      </w:r>
      <w:r>
        <w:rPr>
          <w:iCs/>
          <w:i/>
        </w:rPr>
        <w:t xml:space="preserve">Genetics</w:t>
      </w:r>
      <w:r>
        <w:t xml:space="preserve">,</w:t>
      </w:r>
      <w:r>
        <w:t xml:space="preserve"> </w:t>
      </w:r>
      <w:r>
        <w:rPr>
          <w:iCs/>
          <w:i/>
        </w:rPr>
        <w:t xml:space="preserve">154</w:t>
      </w:r>
      <w:r>
        <w:t xml:space="preserve">(3), 985–997.</w:t>
      </w:r>
    </w:p>
    <w:bookmarkEnd w:id="87"/>
    <w:bookmarkStart w:id="89" w:name="ref-lipsitch_antimicrobial_2002"/>
    <w:p>
      <w:pPr>
        <w:pStyle w:val="Bibliography"/>
      </w:pPr>
      <w:r>
        <w:t xml:space="preserve">Lipsitch, M., &amp; Samore, M. H. (2002). Antimicrobial</w:t>
      </w:r>
      <w:r>
        <w:t xml:space="preserve"> </w:t>
      </w:r>
      <w:r>
        <w:t xml:space="preserve">Use</w:t>
      </w:r>
      <w:r>
        <w:t xml:space="preserve"> </w:t>
      </w:r>
      <w:r>
        <w:t xml:space="preserve">and</w:t>
      </w:r>
      <w:r>
        <w:t xml:space="preserve"> </w:t>
      </w:r>
      <w:r>
        <w:t xml:space="preserve">Antimicrobial</w:t>
      </w:r>
      <w:r>
        <w:t xml:space="preserve"> </w:t>
      </w:r>
      <w:r>
        <w:t xml:space="preserve">Resistance</w:t>
      </w:r>
      <w:r>
        <w:t xml:space="preserve">:</w:t>
      </w:r>
      <w:r>
        <w:t xml:space="preserve"> </w:t>
      </w:r>
      <w:r>
        <w:t xml:space="preserve">A</w:t>
      </w:r>
      <w:r>
        <w:t xml:space="preserve"> </w:t>
      </w:r>
      <w:r>
        <w:t xml:space="preserve">Population</w:t>
      </w:r>
      <w:r>
        <w:t xml:space="preserve"> </w:t>
      </w:r>
      <w:r>
        <w:t xml:space="preserve">Perspective</w:t>
      </w:r>
      <w:r>
        <w:t xml:space="preserve">.</w:t>
      </w:r>
      <w:r>
        <w:t xml:space="preserve"> </w:t>
      </w:r>
      <w:r>
        <w:rPr>
          <w:iCs/>
          <w:i/>
        </w:rPr>
        <w:t xml:space="preserve">Emerging Infectious Diseases</w:t>
      </w:r>
      <w:r>
        <w:t xml:space="preserve">,</w:t>
      </w:r>
      <w:r>
        <w:t xml:space="preserve"> </w:t>
      </w:r>
      <w:r>
        <w:rPr>
          <w:iCs/>
          <w:i/>
        </w:rPr>
        <w:t xml:space="preserve">8</w:t>
      </w:r>
      <w:r>
        <w:t xml:space="preserve">(4), 347–354.</w:t>
      </w:r>
      <w:r>
        <w:t xml:space="preserve"> </w:t>
      </w:r>
      <w:hyperlink r:id="rId88">
        <w:r>
          <w:rPr>
            <w:rStyle w:val="Hyperlink"/>
          </w:rPr>
          <w:t xml:space="preserve">https://doi.org/10.3201/eid0804.010312</w:t>
        </w:r>
      </w:hyperlink>
    </w:p>
    <w:bookmarkEnd w:id="89"/>
    <w:bookmarkStart w:id="91" w:name="ref-lipsitch_antibiotics_2002"/>
    <w:p>
      <w:pPr>
        <w:pStyle w:val="Bibliography"/>
      </w:pPr>
      <w:r>
        <w:t xml:space="preserve">Lipsitch, M., Singer, R. S., &amp; Levin, B. R. (2002). Antibiotics in agriculture:</w:t>
      </w:r>
      <w:r>
        <w:t xml:space="preserve"> </w:t>
      </w:r>
      <w:r>
        <w:t xml:space="preserve">When</w:t>
      </w:r>
      <w:r>
        <w:t xml:space="preserve"> </w:t>
      </w:r>
      <w:r>
        <w:t xml:space="preserve">is it time to close the barn door?</w:t>
      </w:r>
      <w:r>
        <w:t xml:space="preserve"> </w:t>
      </w:r>
      <w:r>
        <w:rPr>
          <w:iCs/>
          <w:i/>
        </w:rPr>
        <w:t xml:space="preserve">Proceedings of the National Academy of Sciences of the United States of America</w:t>
      </w:r>
      <w:r>
        <w:t xml:space="preserve">,</w:t>
      </w:r>
      <w:r>
        <w:t xml:space="preserve"> </w:t>
      </w:r>
      <w:r>
        <w:rPr>
          <w:iCs/>
          <w:i/>
        </w:rPr>
        <w:t xml:space="preserve">99</w:t>
      </w:r>
      <w:r>
        <w:t xml:space="preserve">(9), 5752–5754.</w:t>
      </w:r>
      <w:r>
        <w:t xml:space="preserve"> </w:t>
      </w:r>
      <w:hyperlink r:id="rId90">
        <w:r>
          <w:rPr>
            <w:rStyle w:val="Hyperlink"/>
          </w:rPr>
          <w:t xml:space="preserve">https://doi.org/10.1073/pnas.092142499</w:t>
        </w:r>
      </w:hyperlink>
    </w:p>
    <w:bookmarkEnd w:id="91"/>
    <w:bookmarkStart w:id="93" w:name="ref-llewelyn_antibiotic_2017"/>
    <w:p>
      <w:pPr>
        <w:pStyle w:val="Bibliography"/>
      </w:pPr>
      <w:r>
        <w:t xml:space="preserve">Llewelyn, M. J., Fitzpatrick, J. M., Darwin, E., SarahTonkin-Crine, Gorton, C., Paul, J., Peto, T. E. A., Yardley, L., Hopkins, S., &amp; Walker, A. S. (2017). The antibiotic course has had its day.</w:t>
      </w:r>
      <w:r>
        <w:t xml:space="preserve"> </w:t>
      </w:r>
      <w:r>
        <w:rPr>
          <w:iCs/>
          <w:i/>
        </w:rPr>
        <w:t xml:space="preserve">BMJ</w:t>
      </w:r>
      <w:r>
        <w:t xml:space="preserve">,</w:t>
      </w:r>
      <w:r>
        <w:t xml:space="preserve"> </w:t>
      </w:r>
      <w:r>
        <w:rPr>
          <w:iCs/>
          <w:i/>
        </w:rPr>
        <w:t xml:space="preserve">358</w:t>
      </w:r>
      <w:r>
        <w:t xml:space="preserve">, j3418.</w:t>
      </w:r>
      <w:r>
        <w:t xml:space="preserve"> </w:t>
      </w:r>
      <w:hyperlink r:id="rId92">
        <w:r>
          <w:rPr>
            <w:rStyle w:val="Hyperlink"/>
          </w:rPr>
          <w:t xml:space="preserve">https://doi.org/10.1136/bmj.j3418</w:t>
        </w:r>
      </w:hyperlink>
    </w:p>
    <w:bookmarkEnd w:id="93"/>
    <w:bookmarkStart w:id="94" w:name="ref-man_human_2021"/>
    <w:p>
      <w:pPr>
        <w:pStyle w:val="Bibliography"/>
      </w:pPr>
      <w:r>
        <w:t xml:space="preserve">Man, I., Vänskä, S., Lehtinen, M., &amp; Bogaards, J. A. (2021). Human papillomavirus genotype replacement: Still too early to tell?</w:t>
      </w:r>
      <w:r>
        <w:t xml:space="preserve"> </w:t>
      </w:r>
      <w:r>
        <w:rPr>
          <w:iCs/>
          <w:i/>
        </w:rPr>
        <w:t xml:space="preserve">The Journal of Infectious Diseases</w:t>
      </w:r>
      <w:r>
        <w:t xml:space="preserve">,</w:t>
      </w:r>
      <w:r>
        <w:t xml:space="preserve"> </w:t>
      </w:r>
      <w:r>
        <w:rPr>
          <w:iCs/>
          <w:i/>
        </w:rPr>
        <w:t xml:space="preserve">224</w:t>
      </w:r>
      <w:r>
        <w:t xml:space="preserve">(3), 481–491.</w:t>
      </w:r>
    </w:p>
    <w:bookmarkEnd w:id="94"/>
    <w:bookmarkStart w:id="96" w:name="ref-mavrichBacteriophage2017"/>
    <w:p>
      <w:pPr>
        <w:pStyle w:val="Bibliography"/>
      </w:pPr>
      <w:r>
        <w:t xml:space="preserve">Mavrich, T. N., &amp; Hatfull, G. F. (2017). Bacteriophage evolution differs by host, lifestyle and genome.</w:t>
      </w:r>
      <w:r>
        <w:t xml:space="preserve"> </w:t>
      </w:r>
      <w:r>
        <w:rPr>
          <w:iCs/>
          <w:i/>
        </w:rPr>
        <w:t xml:space="preserve">Nature Microbiology</w:t>
      </w:r>
      <w:r>
        <w:t xml:space="preserve">,</w:t>
      </w:r>
      <w:r>
        <w:t xml:space="preserve"> </w:t>
      </w:r>
      <w:r>
        <w:rPr>
          <w:iCs/>
          <w:i/>
        </w:rPr>
        <w:t xml:space="preserve">2</w:t>
      </w:r>
      <w:r>
        <w:t xml:space="preserve">, 17112.</w:t>
      </w:r>
      <w:r>
        <w:t xml:space="preserve"> </w:t>
      </w:r>
      <w:hyperlink r:id="rId95">
        <w:r>
          <w:rPr>
            <w:rStyle w:val="Hyperlink"/>
          </w:rPr>
          <w:t xml:space="preserve">https://doi.org/10.1038/nmicrobiol.2017.112</w:t>
        </w:r>
      </w:hyperlink>
    </w:p>
    <w:bookmarkEnd w:id="96"/>
    <w:bookmarkStart w:id="98" w:name="ref-mcmeniman_stable_2009"/>
    <w:p>
      <w:pPr>
        <w:pStyle w:val="Bibliography"/>
      </w:pPr>
      <w:r>
        <w:t xml:space="preserve">McMeniman, C. J., Lane, R. V., Cass, B. N., Fong, A. W. C., Sidhu, M., Wang, Y.-F., &amp; O’Neill, S. L. (2009). Stable introduction of a life-shortening</w:t>
      </w:r>
      <w:r>
        <w:t xml:space="preserve"> </w:t>
      </w:r>
      <w:r>
        <w:t xml:space="preserve">Wolbachia</w:t>
      </w:r>
      <w:r>
        <w:t xml:space="preserve"> </w:t>
      </w:r>
      <w:r>
        <w:t xml:space="preserve">infection into the mosquito</w:t>
      </w:r>
      <w:r>
        <w:t xml:space="preserve"> </w:t>
      </w:r>
      <w:r>
        <w:rPr>
          <w:iCs/>
          <w:i/>
        </w:rPr>
        <w:t xml:space="preserve">Aedes aegypti</w:t>
      </w:r>
      <w:r>
        <w:t xml:space="preserve">.</w:t>
      </w:r>
      <w:r>
        <w:t xml:space="preserve"> </w:t>
      </w:r>
      <w:r>
        <w:rPr>
          <w:iCs/>
          <w:i/>
        </w:rPr>
        <w:t xml:space="preserve">Science</w:t>
      </w:r>
      <w:r>
        <w:t xml:space="preserve">,</w:t>
      </w:r>
      <w:r>
        <w:t xml:space="preserve"> </w:t>
      </w:r>
      <w:r>
        <w:rPr>
          <w:iCs/>
          <w:i/>
        </w:rPr>
        <w:t xml:space="preserve">323</w:t>
      </w:r>
      <w:r>
        <w:t xml:space="preserve">(5910), 141–144.</w:t>
      </w:r>
      <w:r>
        <w:t xml:space="preserve"> </w:t>
      </w:r>
      <w:hyperlink r:id="rId97">
        <w:r>
          <w:rPr>
            <w:rStyle w:val="Hyperlink"/>
          </w:rPr>
          <w:t xml:space="preserve">https://doi.org/10.1126/science.1165326</w:t>
        </w:r>
      </w:hyperlink>
    </w:p>
    <w:bookmarkEnd w:id="98"/>
    <w:bookmarkStart w:id="100" w:name="ref-medawar_uniqueness_2019"/>
    <w:p>
      <w:pPr>
        <w:pStyle w:val="Bibliography"/>
      </w:pPr>
      <w:r>
        <w:t xml:space="preserve">Medawar, P. B. (2019).</w:t>
      </w:r>
      <w:r>
        <w:t xml:space="preserve"> </w:t>
      </w:r>
      <w:r>
        <w:rPr>
          <w:iCs/>
          <w:i/>
        </w:rPr>
        <w:t xml:space="preserve">The</w:t>
      </w:r>
      <w:r>
        <w:rPr>
          <w:iCs/>
          <w:i/>
        </w:rPr>
        <w:t xml:space="preserve"> </w:t>
      </w:r>
      <w:r>
        <w:rPr>
          <w:iCs/>
          <w:i/>
        </w:rPr>
        <w:t xml:space="preserve">Uniqueness</w:t>
      </w:r>
      <w:r>
        <w:rPr>
          <w:iCs/>
          <w:i/>
        </w:rPr>
        <w:t xml:space="preserve"> </w:t>
      </w:r>
      <w:r>
        <w:rPr>
          <w:iCs/>
          <w:i/>
        </w:rPr>
        <w:t xml:space="preserve">of the</w:t>
      </w:r>
      <w:r>
        <w:rPr>
          <w:iCs/>
          <w:i/>
        </w:rPr>
        <w:t xml:space="preserve"> </w:t>
      </w:r>
      <w:r>
        <w:rPr>
          <w:iCs/>
          <w:i/>
        </w:rPr>
        <w:t xml:space="preserve">Individual</w:t>
      </w:r>
      <w:r>
        <w:t xml:space="preserve">. Routledge.</w:t>
      </w:r>
      <w:r>
        <w:t xml:space="preserve"> </w:t>
      </w:r>
      <w:hyperlink r:id="rId99">
        <w:r>
          <w:rPr>
            <w:rStyle w:val="Hyperlink"/>
          </w:rPr>
          <w:t xml:space="preserve">https://doi.org/10.4324/9780429299759</w:t>
        </w:r>
      </w:hyperlink>
    </w:p>
    <w:bookmarkEnd w:id="100"/>
    <w:bookmarkStart w:id="102" w:name="ref-musiime_house_2022"/>
    <w:p>
      <w:pPr>
        <w:pStyle w:val="Bibliography"/>
      </w:pPr>
      <w:r>
        <w:t xml:space="preserve">Musiime, A. K., Krezanoski, P. J., Smith, D. L., Kilama, M., Conrad, M. D., Otto, G., Kyagamba, P., Asiimwe, J., Rek, J., Nankabirwa, J. I., Arinaitwe, E., Akol, A. M., Kamya, M. R., Staedke, S. G., Drakeley, C., Bousema, T., Lindsay, S. W., Dorsey, G., &amp; Tusting, L. S. (2022). House design and risk of malaria, acute respiratory infection and gastrointestinal illness in</w:t>
      </w:r>
      <w:r>
        <w:t xml:space="preserve"> </w:t>
      </w:r>
      <w:r>
        <w:t xml:space="preserve">Uganda</w:t>
      </w:r>
      <w:r>
        <w:t xml:space="preserve">:</w:t>
      </w:r>
      <w:r>
        <w:t xml:space="preserve"> </w:t>
      </w:r>
      <w:r>
        <w:t xml:space="preserve">A</w:t>
      </w:r>
      <w:r>
        <w:t xml:space="preserve"> </w:t>
      </w:r>
      <w:r>
        <w:t xml:space="preserve">cohort study.</w:t>
      </w:r>
      <w:r>
        <w:t xml:space="preserve"> </w:t>
      </w:r>
      <w:r>
        <w:rPr>
          <w:iCs/>
          <w:i/>
        </w:rPr>
        <w:t xml:space="preserve">PLOS Global Public Health</w:t>
      </w:r>
      <w:r>
        <w:t xml:space="preserve">,</w:t>
      </w:r>
      <w:r>
        <w:t xml:space="preserve"> </w:t>
      </w:r>
      <w:r>
        <w:rPr>
          <w:iCs/>
          <w:i/>
        </w:rPr>
        <w:t xml:space="preserve">2</w:t>
      </w:r>
      <w:r>
        <w:t xml:space="preserve">(3), e0000063.</w:t>
      </w:r>
      <w:r>
        <w:t xml:space="preserve"> </w:t>
      </w:r>
      <w:hyperlink r:id="rId101">
        <w:r>
          <w:rPr>
            <w:rStyle w:val="Hyperlink"/>
          </w:rPr>
          <w:t xml:space="preserve">https://doi.org/10.1371/journal.pgph.0000063</w:t>
        </w:r>
      </w:hyperlink>
    </w:p>
    <w:bookmarkEnd w:id="102"/>
    <w:bookmarkStart w:id="104" w:name="ref-rosenthalHas2021"/>
    <w:p>
      <w:pPr>
        <w:pStyle w:val="Bibliography"/>
      </w:pPr>
      <w:r>
        <w:t xml:space="preserve">Rosenthal, P. J. (2021). Has artemisinin resistance emerged in</w:t>
      </w:r>
      <w:r>
        <w:t xml:space="preserve"> </w:t>
      </w:r>
      <w:r>
        <w:t xml:space="preserve">Africa</w:t>
      </w:r>
      <w:r>
        <w:t xml:space="preserve">?</w:t>
      </w:r>
      <w:r>
        <w:t xml:space="preserve"> </w:t>
      </w:r>
      <w:r>
        <w:rPr>
          <w:iCs/>
          <w:i/>
        </w:rPr>
        <w:t xml:space="preserve">The Lancet Infectious Diseases</w:t>
      </w:r>
      <w:r>
        <w:t xml:space="preserve">,</w:t>
      </w:r>
      <w:r>
        <w:t xml:space="preserve"> </w:t>
      </w:r>
      <w:r>
        <w:rPr>
          <w:iCs/>
          <w:i/>
        </w:rPr>
        <w:t xml:space="preserve">21</w:t>
      </w:r>
      <w:r>
        <w:t xml:space="preserve">(8), 1056–1057.</w:t>
      </w:r>
      <w:r>
        <w:t xml:space="preserve"> </w:t>
      </w:r>
      <w:hyperlink r:id="rId103">
        <w:r>
          <w:rPr>
            <w:rStyle w:val="Hyperlink"/>
          </w:rPr>
          <w:t xml:space="preserve">https://doi.org/10.1016/S1473-3099(21)00168-7</w:t>
        </w:r>
      </w:hyperlink>
    </w:p>
    <w:bookmarkEnd w:id="104"/>
    <w:bookmarkStart w:id="106" w:name="ref-seo_cost-effectiveness_2014"/>
    <w:p>
      <w:pPr>
        <w:pStyle w:val="Bibliography"/>
      </w:pPr>
      <w:r>
        <w:t xml:space="preserve">Seo, M. K., Baker, P., &amp; Ngo, K. N.-L. (2014). Cost-effectiveness analysis of vaccinating children in</w:t>
      </w:r>
      <w:r>
        <w:t xml:space="preserve"> </w:t>
      </w:r>
      <w:r>
        <w:t xml:space="preserve">Malawi</w:t>
      </w:r>
      <w:r>
        <w:t xml:space="preserve"> </w:t>
      </w:r>
      <w:r>
        <w:t xml:space="preserve">with</w:t>
      </w:r>
      <w:r>
        <w:t xml:space="preserve"> </w:t>
      </w:r>
      <w:r>
        <w:t xml:space="preserve">RTS</w:t>
      </w:r>
      <w:r>
        <w:t xml:space="preserve">,</w:t>
      </w:r>
      <w:r>
        <w:t xml:space="preserve">S</w:t>
      </w:r>
      <w:r>
        <w:t xml:space="preserve"> </w:t>
      </w:r>
      <w:r>
        <w:t xml:space="preserve">vaccines in comparison with long-lasting insecticide-treated nets.</w:t>
      </w:r>
      <w:r>
        <w:t xml:space="preserve"> </w:t>
      </w:r>
      <w:r>
        <w:rPr>
          <w:iCs/>
          <w:i/>
        </w:rPr>
        <w:t xml:space="preserve">Malaria Journal</w:t>
      </w:r>
      <w:r>
        <w:t xml:space="preserve">,</w:t>
      </w:r>
      <w:r>
        <w:t xml:space="preserve"> </w:t>
      </w:r>
      <w:r>
        <w:rPr>
          <w:iCs/>
          <w:i/>
        </w:rPr>
        <w:t xml:space="preserve">13</w:t>
      </w:r>
      <w:r>
        <w:t xml:space="preserve">(1), 66.</w:t>
      </w:r>
      <w:r>
        <w:t xml:space="preserve"> </w:t>
      </w:r>
      <w:hyperlink r:id="rId105">
        <w:r>
          <w:rPr>
            <w:rStyle w:val="Hyperlink"/>
          </w:rPr>
          <w:t xml:space="preserve">https://doi.org/10.1186/1475-2875-13-66</w:t>
        </w:r>
      </w:hyperlink>
    </w:p>
    <w:bookmarkEnd w:id="106"/>
    <w:bookmarkStart w:id="108" w:name="ref-smith_animal_2002"/>
    <w:p>
      <w:pPr>
        <w:pStyle w:val="Bibliography"/>
      </w:pPr>
      <w:r>
        <w:t xml:space="preserve">Smith, D. L., Harris, A. D., Johnson, J. A., Silbergeld, E. K., &amp; Morris, J. G. (2002). Animal antibiotic use has an early but important impact on the emergence of antibiotic resistance in human commensal bacteria.</w:t>
      </w:r>
      <w:r>
        <w:t xml:space="preserve"> </w:t>
      </w:r>
      <w:r>
        <w:rPr>
          <w:iCs/>
          <w:i/>
        </w:rPr>
        <w:t xml:space="preserve">Proceedings of the National Academy of Sciences of the United States of America</w:t>
      </w:r>
      <w:r>
        <w:t xml:space="preserve">,</w:t>
      </w:r>
      <w:r>
        <w:t xml:space="preserve"> </w:t>
      </w:r>
      <w:r>
        <w:rPr>
          <w:iCs/>
          <w:i/>
        </w:rPr>
        <w:t xml:space="preserve">99</w:t>
      </w:r>
      <w:r>
        <w:t xml:space="preserve">(9), 6434–6439.</w:t>
      </w:r>
      <w:r>
        <w:t xml:space="preserve"> </w:t>
      </w:r>
      <w:hyperlink r:id="rId107">
        <w:r>
          <w:rPr>
            <w:rStyle w:val="Hyperlink"/>
          </w:rPr>
          <w:t xml:space="preserve">https://doi.org/10.1073/pnas.082188899</w:t>
        </w:r>
      </w:hyperlink>
    </w:p>
    <w:bookmarkEnd w:id="108"/>
    <w:bookmarkStart w:id="110" w:name="ref-sa_haart_2019"/>
    <w:p>
      <w:pPr>
        <w:pStyle w:val="Bibliography"/>
      </w:pPr>
      <w:r>
        <w:t xml:space="preserve">South Africa National Department of Health, R. of. (2019).</w:t>
      </w:r>
      <w:r>
        <w:t xml:space="preserve"> </w:t>
      </w:r>
      <w:r>
        <w:rPr>
          <w:iCs/>
          <w:i/>
        </w:rPr>
        <w:t xml:space="preserve">2019</w:t>
      </w:r>
      <w:r>
        <w:rPr>
          <w:iCs/>
          <w:i/>
        </w:rPr>
        <w:t xml:space="preserve"> </w:t>
      </w:r>
      <w:r>
        <w:rPr>
          <w:iCs/>
          <w:i/>
        </w:rPr>
        <w:t xml:space="preserve">ART</w:t>
      </w:r>
      <w:r>
        <w:rPr>
          <w:iCs/>
          <w:i/>
        </w:rPr>
        <w:t xml:space="preserve"> </w:t>
      </w:r>
      <w:r>
        <w:rPr>
          <w:iCs/>
          <w:i/>
        </w:rPr>
        <w:t xml:space="preserve">Clinical</w:t>
      </w:r>
      <w:r>
        <w:rPr>
          <w:iCs/>
          <w:i/>
        </w:rPr>
        <w:t xml:space="preserve"> </w:t>
      </w:r>
      <w:r>
        <w:rPr>
          <w:iCs/>
          <w:i/>
        </w:rPr>
        <w:t xml:space="preserve">Guidelines</w:t>
      </w:r>
      <w:r>
        <w:rPr>
          <w:iCs/>
          <w:i/>
        </w:rPr>
        <w:t xml:space="preserve"> </w:t>
      </w:r>
      <w:r>
        <w:rPr>
          <w:iCs/>
          <w:i/>
        </w:rPr>
        <w:t xml:space="preserve">for the</w:t>
      </w:r>
      <w:r>
        <w:rPr>
          <w:iCs/>
          <w:i/>
        </w:rPr>
        <w:t xml:space="preserve"> </w:t>
      </w:r>
      <w:r>
        <w:rPr>
          <w:iCs/>
          <w:i/>
        </w:rPr>
        <w:t xml:space="preserve">Management</w:t>
      </w:r>
      <w:r>
        <w:rPr>
          <w:iCs/>
          <w:i/>
        </w:rPr>
        <w:t xml:space="preserve"> </w:t>
      </w:r>
      <w:r>
        <w:rPr>
          <w:iCs/>
          <w:i/>
        </w:rPr>
        <w:t xml:space="preserve">of</w:t>
      </w:r>
      <w:r>
        <w:rPr>
          <w:iCs/>
          <w:i/>
        </w:rPr>
        <w:t xml:space="preserve"> </w:t>
      </w:r>
      <w:r>
        <w:rPr>
          <w:iCs/>
          <w:i/>
        </w:rPr>
        <w:t xml:space="preserve">HIV</w:t>
      </w:r>
      <w:r>
        <w:rPr>
          <w:iCs/>
          <w:i/>
        </w:rPr>
        <w:t xml:space="preserve"> </w:t>
      </w:r>
      <w:r>
        <w:rPr>
          <w:iCs/>
          <w:i/>
        </w:rPr>
        <w:t xml:space="preserve">in</w:t>
      </w:r>
      <w:r>
        <w:rPr>
          <w:iCs/>
          <w:i/>
        </w:rPr>
        <w:t xml:space="preserve"> </w:t>
      </w:r>
      <w:r>
        <w:rPr>
          <w:iCs/>
          <w:i/>
        </w:rPr>
        <w:t xml:space="preserve">Adults</w:t>
      </w:r>
      <w:r>
        <w:rPr>
          <w:iCs/>
          <w:i/>
        </w:rPr>
        <w:t xml:space="preserve">,</w:t>
      </w:r>
      <w:r>
        <w:rPr>
          <w:iCs/>
          <w:i/>
        </w:rPr>
        <w:t xml:space="preserve"> </w:t>
      </w:r>
      <w:r>
        <w:rPr>
          <w:iCs/>
          <w:i/>
        </w:rPr>
        <w:t xml:space="preserve">Pregnancy</w:t>
      </w:r>
      <w:r>
        <w:rPr>
          <w:iCs/>
          <w:i/>
        </w:rPr>
        <w:t xml:space="preserve">,</w:t>
      </w:r>
      <w:r>
        <w:rPr>
          <w:iCs/>
          <w:i/>
        </w:rPr>
        <w:t xml:space="preserve"> </w:t>
      </w:r>
      <w:r>
        <w:rPr>
          <w:iCs/>
          <w:i/>
        </w:rPr>
        <w:t xml:space="preserve">Adolescents</w:t>
      </w:r>
      <w:r>
        <w:rPr>
          <w:iCs/>
          <w:i/>
        </w:rPr>
        <w:t xml:space="preserve">,</w:t>
      </w:r>
      <w:r>
        <w:rPr>
          <w:iCs/>
          <w:i/>
        </w:rPr>
        <w:t xml:space="preserve"> </w:t>
      </w:r>
      <w:r>
        <w:rPr>
          <w:iCs/>
          <w:i/>
        </w:rPr>
        <w:t xml:space="preserve">Children</w:t>
      </w:r>
      <w:r>
        <w:rPr>
          <w:iCs/>
          <w:i/>
        </w:rPr>
        <w:t xml:space="preserve">,</w:t>
      </w:r>
      <w:r>
        <w:rPr>
          <w:iCs/>
          <w:i/>
        </w:rPr>
        <w:t xml:space="preserve"> </w:t>
      </w:r>
      <w:r>
        <w:rPr>
          <w:iCs/>
          <w:i/>
        </w:rPr>
        <w:t xml:space="preserve">Infants</w:t>
      </w:r>
      <w:r>
        <w:rPr>
          <w:iCs/>
          <w:i/>
        </w:rPr>
        <w:t xml:space="preserve"> </w:t>
      </w:r>
      <w:r>
        <w:rPr>
          <w:iCs/>
          <w:i/>
        </w:rPr>
        <w:t xml:space="preserve">and</w:t>
      </w:r>
      <w:r>
        <w:rPr>
          <w:iCs/>
          <w:i/>
        </w:rPr>
        <w:t xml:space="preserve"> </w:t>
      </w:r>
      <w:r>
        <w:rPr>
          <w:iCs/>
          <w:i/>
        </w:rPr>
        <w:t xml:space="preserve">Neonates</w:t>
      </w:r>
      <w:r>
        <w:t xml:space="preserve">.</w:t>
      </w:r>
      <w:r>
        <w:t xml:space="preserve"> </w:t>
      </w:r>
      <w:hyperlink r:id="rId109">
        <w:r>
          <w:rPr>
            <w:rStyle w:val="Hyperlink"/>
          </w:rPr>
          <w:t xml:space="preserve">https://www.nicd.ac.za/wp-content/uploads/2019/11/2019-ART-Clinical-Guidelines-25-Nov.pdf</w:t>
        </w:r>
      </w:hyperlink>
    </w:p>
    <w:bookmarkEnd w:id="110"/>
    <w:bookmarkStart w:id="112" w:name="ref-gent_small_2012"/>
    <w:p>
      <w:pPr>
        <w:pStyle w:val="Bibliography"/>
      </w:pPr>
      <w:r>
        <w:t xml:space="preserve">van Gent, M., Bart, M. J., van der Heide, H. G. J., Heuvelman, K. J., &amp; Mooi, F. R. (2012). Small</w:t>
      </w:r>
      <w:r>
        <w:t xml:space="preserve"> </w:t>
      </w:r>
      <w:r>
        <w:t xml:space="preserve">Mutations</w:t>
      </w:r>
      <w:r>
        <w:t xml:space="preserve"> </w:t>
      </w:r>
      <w:r>
        <w:t xml:space="preserve">in</w:t>
      </w:r>
      <w:r>
        <w:t xml:space="preserve"> </w:t>
      </w:r>
      <w:r>
        <w:rPr>
          <w:iCs/>
          <w:i/>
        </w:rPr>
        <w:t xml:space="preserve">Bordetella pertussis</w:t>
      </w:r>
      <w:r>
        <w:t xml:space="preserve"> </w:t>
      </w:r>
      <w:r>
        <w:t xml:space="preserve">Are</w:t>
      </w:r>
      <w:r>
        <w:t xml:space="preserve"> </w:t>
      </w:r>
      <w:r>
        <w:t xml:space="preserve">Associated</w:t>
      </w:r>
      <w:r>
        <w:t xml:space="preserve"> </w:t>
      </w:r>
      <w:r>
        <w:t xml:space="preserve">with</w:t>
      </w:r>
      <w:r>
        <w:t xml:space="preserve"> </w:t>
      </w:r>
      <w:r>
        <w:t xml:space="preserve">Selective</w:t>
      </w:r>
      <w:r>
        <w:t xml:space="preserve"> </w:t>
      </w:r>
      <w:r>
        <w:t xml:space="preserve">Sweeps</w:t>
      </w:r>
      <w:r>
        <w:t xml:space="preserve">.</w:t>
      </w:r>
      <w:r>
        <w:t xml:space="preserve"> </w:t>
      </w:r>
      <w:r>
        <w:rPr>
          <w:iCs/>
          <w:i/>
        </w:rPr>
        <w:t xml:space="preserve">PLOS ONE</w:t>
      </w:r>
      <w:r>
        <w:t xml:space="preserve">,</w:t>
      </w:r>
      <w:r>
        <w:t xml:space="preserve"> </w:t>
      </w:r>
      <w:r>
        <w:rPr>
          <w:iCs/>
          <w:i/>
        </w:rPr>
        <w:t xml:space="preserve">7</w:t>
      </w:r>
      <w:r>
        <w:t xml:space="preserve">(9), e46407.</w:t>
      </w:r>
      <w:r>
        <w:t xml:space="preserve"> </w:t>
      </w:r>
      <w:hyperlink r:id="rId111">
        <w:r>
          <w:rPr>
            <w:rStyle w:val="Hyperlink"/>
          </w:rPr>
          <w:t xml:space="preserve">https://doi.org/10.1371/journal.pone.0046407</w:t>
        </w:r>
      </w:hyperlink>
    </w:p>
    <w:bookmarkEnd w:id="112"/>
    <w:bookmarkStart w:id="114" w:name="ref-wangProgress2022"/>
    <w:p>
      <w:pPr>
        <w:pStyle w:val="Bibliography"/>
      </w:pPr>
      <w:r>
        <w:t xml:space="preserve">Wang, W.-C., Sayedahmed, E. E., Sambhara, S., &amp; Mittal, S. K. (2022). Progress towards the</w:t>
      </w:r>
      <w:r>
        <w:t xml:space="preserve"> </w:t>
      </w:r>
      <w:r>
        <w:t xml:space="preserve">Development</w:t>
      </w:r>
      <w:r>
        <w:t xml:space="preserve"> </w:t>
      </w:r>
      <w:r>
        <w:t xml:space="preserve">of a</w:t>
      </w:r>
      <w:r>
        <w:t xml:space="preserve"> </w:t>
      </w:r>
      <w:r>
        <w:t xml:space="preserve">Universal Influenza Vaccine</w:t>
      </w:r>
      <w:r>
        <w:t xml:space="preserve">.</w:t>
      </w:r>
      <w:r>
        <w:t xml:space="preserve"> </w:t>
      </w:r>
      <w:r>
        <w:rPr>
          <w:iCs/>
          <w:i/>
        </w:rPr>
        <w:t xml:space="preserve">Viruses</w:t>
      </w:r>
      <w:r>
        <w:t xml:space="preserve">,</w:t>
      </w:r>
      <w:r>
        <w:t xml:space="preserve"> </w:t>
      </w:r>
      <w:r>
        <w:rPr>
          <w:iCs/>
          <w:i/>
        </w:rPr>
        <w:t xml:space="preserve">14</w:t>
      </w:r>
      <w:r>
        <w:t xml:space="preserve">(8), 1684.</w:t>
      </w:r>
      <w:r>
        <w:t xml:space="preserve"> </w:t>
      </w:r>
      <w:hyperlink r:id="rId113">
        <w:r>
          <w:rPr>
            <w:rStyle w:val="Hyperlink"/>
          </w:rPr>
          <w:t xml:space="preserve">https://doi.org/10.3390/v14081684</w:t>
        </w:r>
      </w:hyperlink>
    </w:p>
    <w:bookmarkEnd w:id="114"/>
    <w:bookmarkStart w:id="116" w:name="ref-wuGene2023"/>
    <w:p>
      <w:pPr>
        <w:pStyle w:val="Bibliography"/>
      </w:pPr>
      <w:r>
        <w:t xml:space="preserve">Wu, J., Meng, L., Gaïa, M., Hikida, H., Okazaki, Y., Endo, H., &amp; Ogata, H. (2023).</w:t>
      </w:r>
      <w:r>
        <w:t xml:space="preserve"> </w:t>
      </w:r>
      <w:r>
        <w:rPr>
          <w:iCs/>
          <w:i/>
        </w:rPr>
        <w:t xml:space="preserve">Gene transfer among viruses substantially contributes to gene gain of giant viruses</w:t>
      </w:r>
      <w:r>
        <w:t xml:space="preserve"> </w:t>
      </w:r>
      <w:r>
        <w:t xml:space="preserve">(p. 2023.09.26.559659).</w:t>
      </w:r>
      <w:r>
        <w:t xml:space="preserve"> </w:t>
      </w:r>
      <w:r>
        <w:t xml:space="preserve">bioRxiv</w:t>
      </w:r>
      <w:r>
        <w:t xml:space="preserve">.</w:t>
      </w:r>
      <w:r>
        <w:t xml:space="preserve"> </w:t>
      </w:r>
      <w:hyperlink r:id="rId115">
        <w:r>
          <w:rPr>
            <w:rStyle w:val="Hyperlink"/>
          </w:rPr>
          <w:t xml:space="preserve">https://doi.org/10.1101/2023.09.26.559659</w:t>
        </w:r>
      </w:hyperlink>
    </w:p>
    <w:bookmarkEnd w:id="116"/>
    <w:bookmarkEnd w:id="117"/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Last updated: 2023-11-26 16:37:09.072017</w:t>
      </w:r>
    </w:p>
    <w:bookmarkEnd w:id="118"/>
    <w:bookmarkEnd w:id="11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711">
    <w:nsid w:val="A99711"/>
    <w:multiLevelType w:val="multilevel"/>
    <w:lvl w:ilvl="0">
      <w:start w:val="1"/>
      <w:numFmt w:val="lowerLetter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Letter"/>
      <w:lvlText w:val="%3."/>
      <w:lvlJc w:val="left"/>
      <w:pPr>
        <w:ind w:left="2160" w:hanging="480"/>
      </w:pPr>
    </w:lvl>
    <w:lvl w:ilvl="3">
      <w:start w:val="1"/>
      <w:numFmt w:val="lowerLetter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Letter"/>
      <w:lvlText w:val="%6."/>
      <w:lvlJc w:val="left"/>
      <w:pPr>
        <w:ind w:left="4320" w:hanging="480"/>
      </w:pPr>
    </w:lvl>
    <w:lvl w:ilvl="6">
      <w:start w:val="1"/>
      <w:numFmt w:val="lowerLetter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Letter"/>
      <w:lvlText w:val="%9.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7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8f8f8"/>
    </w:pPr>
  </w:style>
  <w:style w:type="character" w:customStyle="1" w:styleId="KeywordTok">
    <w:name w:val="KeywordTok"/>
    <w:basedOn w:val="VerbatimChar"/>
    <w:rPr>
      <w:color w:val="204a87"/>
      <w:shd w:val="clear" w:fill="f8f8f8"/>
      <w:b/>
    </w:rPr>
  </w:style>
  <w:style w:type="character" w:customStyle="1" w:styleId="DataTypeTok">
    <w:name w:val="DataTypeTok"/>
    <w:basedOn w:val="VerbatimChar"/>
    <w:rPr>
      <w:color w:val="204a87"/>
      <w:shd w:val="clear" w:fill="f8f8f8"/>
    </w:rPr>
  </w:style>
  <w:style w:type="character" w:customStyle="1" w:styleId="DecValTok">
    <w:name w:val="DecValTok"/>
    <w:basedOn w:val="VerbatimChar"/>
    <w:rPr>
      <w:color w:val="0000cf"/>
      <w:shd w:val="clear" w:fill="f8f8f8"/>
    </w:rPr>
  </w:style>
  <w:style w:type="character" w:customStyle="1" w:styleId="BaseNTok">
    <w:name w:val="BaseNTok"/>
    <w:basedOn w:val="VerbatimChar"/>
    <w:rPr>
      <w:color w:val="0000cf"/>
      <w:shd w:val="clear" w:fill="f8f8f8"/>
    </w:rPr>
  </w:style>
  <w:style w:type="character" w:customStyle="1" w:styleId="FloatTok">
    <w:name w:val="FloatTok"/>
    <w:basedOn w:val="VerbatimChar"/>
    <w:rPr>
      <w:color w:val="0000cf"/>
      <w:shd w:val="clear" w:fill="f8f8f8"/>
    </w:rPr>
  </w:style>
  <w:style w:type="character" w:customStyle="1" w:styleId="ConstantTok">
    <w:name w:val="ConstantTok"/>
    <w:basedOn w:val="VerbatimChar"/>
    <w:rPr>
      <w:color w:val="8f5902"/>
      <w:shd w:val="clear" w:fill="f8f8f8"/>
    </w:rPr>
  </w:style>
  <w:style w:type="character" w:customStyle="1" w:styleId="CharTok">
    <w:name w:val="CharTok"/>
    <w:basedOn w:val="VerbatimChar"/>
    <w:rPr>
      <w:color w:val="4e9a06"/>
      <w:shd w:val="clear" w:fill="f8f8f8"/>
    </w:rPr>
  </w:style>
  <w:style w:type="character" w:customStyle="1" w:styleId="SpecialCharTok">
    <w:name w:val="SpecialCharTok"/>
    <w:basedOn w:val="VerbatimChar"/>
    <w:rPr>
      <w:color w:val="ce5c00"/>
      <w:shd w:val="clear" w:fill="f8f8f8"/>
      <w:b/>
    </w:rPr>
  </w:style>
  <w:style w:type="character" w:customStyle="1" w:styleId="StringTok">
    <w:name w:val="StringTok"/>
    <w:basedOn w:val="VerbatimChar"/>
    <w:rPr>
      <w:color w:val="4e9a06"/>
      <w:shd w:val="clear" w:fill="f8f8f8"/>
    </w:rPr>
  </w:style>
  <w:style w:type="character" w:customStyle="1" w:styleId="VerbatimStringTok">
    <w:name w:val="VerbatimStringTok"/>
    <w:basedOn w:val="VerbatimChar"/>
    <w:rPr>
      <w:color w:val="4e9a06"/>
      <w:shd w:val="clear" w:fill="f8f8f8"/>
    </w:rPr>
  </w:style>
  <w:style w:type="character" w:customStyle="1" w:styleId="SpecialStringTok">
    <w:name w:val="SpecialStringTok"/>
    <w:basedOn w:val="VerbatimChar"/>
    <w:rPr>
      <w:color w:val="4e9a06"/>
      <w:shd w:val="clear" w:fill="f8f8f8"/>
    </w:rPr>
  </w:style>
  <w:style w:type="character" w:customStyle="1" w:styleId="ImportTok">
    <w:name w:val="ImportTok"/>
    <w:basedOn w:val="VerbatimChar"/>
    <w:rPr>
      <w:shd w:val="clear" w:fill="f8f8f8"/>
    </w:rPr>
  </w:style>
  <w:style w:type="character" w:customStyle="1" w:styleId="CommentTok">
    <w:name w:val="CommentTok"/>
    <w:basedOn w:val="VerbatimChar"/>
    <w:rPr>
      <w:color w:val="8f5902"/>
      <w:shd w:val="clear" w:fill="f8f8f8"/>
      <w:i/>
    </w:rPr>
  </w:style>
  <w:style w:type="character" w:customStyle="1" w:styleId="DocumentationTok">
    <w:name w:val="DocumentationTok"/>
    <w:basedOn w:val="VerbatimChar"/>
    <w:rPr>
      <w:color w:val="8f5902"/>
      <w:shd w:val="clear" w:fill="f8f8f8"/>
      <w:b/>
      <w:i/>
    </w:rPr>
  </w:style>
  <w:style w:type="character" w:customStyle="1" w:styleId="AnnotationTok">
    <w:name w:val="AnnotationTok"/>
    <w:basedOn w:val="VerbatimChar"/>
    <w:rPr>
      <w:color w:val="8f5902"/>
      <w:shd w:val="clear" w:fill="f8f8f8"/>
      <w:b/>
      <w:i/>
    </w:rPr>
  </w:style>
  <w:style w:type="character" w:customStyle="1" w:styleId="CommentVarTok">
    <w:name w:val="CommentVarTok"/>
    <w:basedOn w:val="VerbatimChar"/>
    <w:rPr>
      <w:color w:val="8f5902"/>
      <w:shd w:val="clear" w:fill="f8f8f8"/>
      <w:b/>
      <w:i/>
    </w:rPr>
  </w:style>
  <w:style w:type="character" w:customStyle="1" w:styleId="OtherTok">
    <w:name w:val="OtherTok"/>
    <w:basedOn w:val="VerbatimChar"/>
    <w:rPr>
      <w:color w:val="8f5902"/>
      <w:shd w:val="clear" w:fill="f8f8f8"/>
    </w:rPr>
  </w:style>
  <w:style w:type="character" w:customStyle="1" w:styleId="FunctionTok">
    <w:name w:val="FunctionTok"/>
    <w:basedOn w:val="VerbatimChar"/>
    <w:rPr>
      <w:color w:val="204a87"/>
      <w:shd w:val="clear" w:fill="f8f8f8"/>
      <w:b/>
    </w:rPr>
  </w:style>
  <w:style w:type="character" w:customStyle="1" w:styleId="VariableTok">
    <w:name w:val="VariableTok"/>
    <w:basedOn w:val="VerbatimChar"/>
    <w:rPr>
      <w:color w:val="000000"/>
      <w:shd w:val="clear" w:fill="f8f8f8"/>
    </w:rPr>
  </w:style>
  <w:style w:type="character" w:customStyle="1" w:styleId="ControlFlowTok">
    <w:name w:val="ControlFlowTok"/>
    <w:basedOn w:val="VerbatimChar"/>
    <w:rPr>
      <w:color w:val="204a87"/>
      <w:shd w:val="clear" w:fill="f8f8f8"/>
      <w:b/>
    </w:rPr>
  </w:style>
  <w:style w:type="character" w:customStyle="1" w:styleId="OperatorTok">
    <w:name w:val="OperatorTok"/>
    <w:basedOn w:val="VerbatimChar"/>
    <w:rPr>
      <w:color w:val="ce5c00"/>
      <w:shd w:val="clear" w:fill="f8f8f8"/>
      <w:b/>
    </w:rPr>
  </w:style>
  <w:style w:type="character" w:customStyle="1" w:styleId="BuiltInTok">
    <w:name w:val="BuiltInTok"/>
    <w:basedOn w:val="VerbatimChar"/>
    <w:rPr>
      <w:shd w:val="clear" w:fill="f8f8f8"/>
    </w:rPr>
  </w:style>
  <w:style w:type="character" w:customStyle="1" w:styleId="ExtensionTok">
    <w:name w:val="ExtensionTok"/>
    <w:basedOn w:val="VerbatimChar"/>
    <w:rPr>
      <w:shd w:val="clear" w:fill="f8f8f8"/>
    </w:rPr>
  </w:style>
  <w:style w:type="character" w:customStyle="1" w:styleId="PreprocessorTok">
    <w:name w:val="PreprocessorTok"/>
    <w:basedOn w:val="VerbatimChar"/>
    <w:rPr>
      <w:color w:val="8f5902"/>
      <w:shd w:val="clear" w:fill="f8f8f8"/>
      <w:i/>
    </w:rPr>
  </w:style>
  <w:style w:type="character" w:customStyle="1" w:styleId="AttributeTok">
    <w:name w:val="AttributeTok"/>
    <w:basedOn w:val="VerbatimChar"/>
    <w:rPr>
      <w:color w:val="204a87"/>
      <w:shd w:val="clear" w:fill="f8f8f8"/>
    </w:rPr>
  </w:style>
  <w:style w:type="character" w:customStyle="1" w:styleId="RegionMarkerTok">
    <w:name w:val="RegionMarkerTok"/>
    <w:basedOn w:val="VerbatimChar"/>
    <w:rPr>
      <w:shd w:val="clear" w:fill="f8f8f8"/>
    </w:rPr>
  </w:style>
  <w:style w:type="character" w:customStyle="1" w:styleId="InformationTok">
    <w:name w:val="InformationTok"/>
    <w:basedOn w:val="VerbatimChar"/>
    <w:rPr>
      <w:color w:val="8f5902"/>
      <w:shd w:val="clear" w:fill="f8f8f8"/>
      <w:b/>
      <w:i/>
    </w:rPr>
  </w:style>
  <w:style w:type="character" w:customStyle="1" w:styleId="WarningTok">
    <w:name w:val="WarningTok"/>
    <w:basedOn w:val="VerbatimChar"/>
    <w:rPr>
      <w:color w:val="8f5902"/>
      <w:shd w:val="clear" w:fill="f8f8f8"/>
      <w:b/>
      <w:i/>
    </w:rPr>
  </w:style>
  <w:style w:type="character" w:customStyle="1" w:styleId="AlertTok">
    <w:name w:val="AlertTok"/>
    <w:basedOn w:val="VerbatimChar"/>
    <w:rPr>
      <w:color w:val="ef2929"/>
      <w:shd w:val="clear" w:fill="f8f8f8"/>
    </w:rPr>
  </w:style>
  <w:style w:type="character" w:customStyle="1" w:styleId="ErrorTok">
    <w:name w:val="ErrorTok"/>
    <w:basedOn w:val="VerbatimChar"/>
    <w:rPr>
      <w:color w:val="a40000"/>
      <w:shd w:val="clear" w:fill="f8f8f8"/>
      <w:b/>
    </w:rPr>
  </w:style>
  <w:style w:type="character" w:customStyle="1" w:styleId="NormalTok">
    <w:name w:val="NormalTok"/>
    <w:basedOn w:val="VerbatimChar"/>
    <w:rPr>
      <w:shd w:val="clear" w:fill="f8f8f8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hyperlink" Id="rId75" Target="http://www.imperial.ac.uk/medicine/departments/school-public-health/infectious-disease-epidemiology/mrc-global-infectious-disease-analysis/covid-19/report-49-omicron/" TargetMode="External" /><Relationship Type="http://schemas.openxmlformats.org/officeDocument/2006/relationships/hyperlink" Id="rId73" Target="http://www.ncbi.nlm.nih.gov/books/NBK554533/" TargetMode="External" /><Relationship Type="http://schemas.openxmlformats.org/officeDocument/2006/relationships/hyperlink" Id="rId58" Target="http://www.ncbi.nlm.nih.gov/pmc/articles/PMC191463/" TargetMode="External" /><Relationship Type="http://schemas.openxmlformats.org/officeDocument/2006/relationships/hyperlink" Id="rId83" Target="https://doi.org/10.1007/82_2016_496" TargetMode="External" /><Relationship Type="http://schemas.openxmlformats.org/officeDocument/2006/relationships/hyperlink" Id="rId79" Target="https://doi.org/10.1016/S1473-3099(17)30048-8" TargetMode="External" /><Relationship Type="http://schemas.openxmlformats.org/officeDocument/2006/relationships/hyperlink" Id="rId103" Target="https://doi.org/10.1016/S1473-3099(21)00168-7" TargetMode="External" /><Relationship Type="http://schemas.openxmlformats.org/officeDocument/2006/relationships/hyperlink" Id="rId69" Target="https://doi.org/10.1016/j.cois.2014.07.004" TargetMode="External" /><Relationship Type="http://schemas.openxmlformats.org/officeDocument/2006/relationships/hyperlink" Id="rId46" Target="https://doi.org/10.1016/j.vaccine.2010.03.075" TargetMode="External" /><Relationship Type="http://schemas.openxmlformats.org/officeDocument/2006/relationships/hyperlink" Id="rId67" Target="https://doi.org/10.1038/nature10388" TargetMode="External" /><Relationship Type="http://schemas.openxmlformats.org/officeDocument/2006/relationships/hyperlink" Id="rId95" Target="https://doi.org/10.1038/nmicrobiol.2017.112" TargetMode="External" /><Relationship Type="http://schemas.openxmlformats.org/officeDocument/2006/relationships/hyperlink" Id="rId71" Target="https://doi.org/10.1038/s42003-020-01545-5" TargetMode="External" /><Relationship Type="http://schemas.openxmlformats.org/officeDocument/2006/relationships/hyperlink" Id="rId48" Target="https://doi.org/10.1056/NEJMoa1314981" TargetMode="External" /><Relationship Type="http://schemas.openxmlformats.org/officeDocument/2006/relationships/hyperlink" Id="rId54" Target="https://doi.org/10.1073/pnas.0402298101" TargetMode="External" /><Relationship Type="http://schemas.openxmlformats.org/officeDocument/2006/relationships/hyperlink" Id="rId107" Target="https://doi.org/10.1073/pnas.082188899" TargetMode="External" /><Relationship Type="http://schemas.openxmlformats.org/officeDocument/2006/relationships/hyperlink" Id="rId90" Target="https://doi.org/10.1073/pnas.092142499" TargetMode="External" /><Relationship Type="http://schemas.openxmlformats.org/officeDocument/2006/relationships/hyperlink" Id="rId56" Target="https://doi.org/10.1073/pnas.241517298" TargetMode="External" /><Relationship Type="http://schemas.openxmlformats.org/officeDocument/2006/relationships/hyperlink" Id="rId52" Target="https://doi.org/10.1073/pnas.70.8.2276" TargetMode="External" /><Relationship Type="http://schemas.openxmlformats.org/officeDocument/2006/relationships/hyperlink" Id="rId60" Target="https://doi.org/10.1073/pnas.94.22.12106" TargetMode="External" /><Relationship Type="http://schemas.openxmlformats.org/officeDocument/2006/relationships/hyperlink" Id="rId62" Target="https://doi.org/10.1080/23299460.2017.1419410" TargetMode="External" /><Relationship Type="http://schemas.openxmlformats.org/officeDocument/2006/relationships/hyperlink" Id="rId115" Target="https://doi.org/10.1101/2023.09.26.559659" TargetMode="External" /><Relationship Type="http://schemas.openxmlformats.org/officeDocument/2006/relationships/hyperlink" Id="rId85" Target="https://doi.org/10.1111/j.1752-4571.2009.00072.x" TargetMode="External" /><Relationship Type="http://schemas.openxmlformats.org/officeDocument/2006/relationships/hyperlink" Id="rId97" Target="https://doi.org/10.1126/science.1165326" TargetMode="External" /><Relationship Type="http://schemas.openxmlformats.org/officeDocument/2006/relationships/hyperlink" Id="rId92" Target="https://doi.org/10.1136/bmj.j3418" TargetMode="External" /><Relationship Type="http://schemas.openxmlformats.org/officeDocument/2006/relationships/hyperlink" Id="rId44" Target="https://doi.org/10.1186/1475-2875-10-144" TargetMode="External" /><Relationship Type="http://schemas.openxmlformats.org/officeDocument/2006/relationships/hyperlink" Id="rId105" Target="https://doi.org/10.1186/1475-2875-13-66" TargetMode="External" /><Relationship Type="http://schemas.openxmlformats.org/officeDocument/2006/relationships/hyperlink" Id="rId101" Target="https://doi.org/10.1371/journal.pgph.0000063" TargetMode="External" /><Relationship Type="http://schemas.openxmlformats.org/officeDocument/2006/relationships/hyperlink" Id="rId111" Target="https://doi.org/10.1371/journal.pone.0046407" TargetMode="External" /><Relationship Type="http://schemas.openxmlformats.org/officeDocument/2006/relationships/hyperlink" Id="rId50" Target="https://doi.org/10.1371/journal.pone.0146834" TargetMode="External" /><Relationship Type="http://schemas.openxmlformats.org/officeDocument/2006/relationships/hyperlink" Id="rId88" Target="https://doi.org/10.3201/eid0804.010312" TargetMode="External" /><Relationship Type="http://schemas.openxmlformats.org/officeDocument/2006/relationships/hyperlink" Id="rId113" Target="https://doi.org/10.3390/v14081684" TargetMode="External" /><Relationship Type="http://schemas.openxmlformats.org/officeDocument/2006/relationships/hyperlink" Id="rId99" Target="https://doi.org/10.4324/9780429299759" TargetMode="External" /><Relationship Type="http://schemas.openxmlformats.org/officeDocument/2006/relationships/hyperlink" Id="rId42" Target="https://en.wikipedia.org/wiki/DDT#Mosquito_resistance" TargetMode="External" /><Relationship Type="http://schemas.openxmlformats.org/officeDocument/2006/relationships/hyperlink" Id="rId33" Target="https://twitter.com/ProfDavidLSmith/status/1504110201875562504" TargetMode="External" /><Relationship Type="http://schemas.openxmlformats.org/officeDocument/2006/relationships/hyperlink" Id="rId77" Target="https://web.archive.org/web/20160416165010/http://gladwell.com/the-mosquito-killer/" TargetMode="External" /><Relationship Type="http://schemas.openxmlformats.org/officeDocument/2006/relationships/hyperlink" Id="rId64" Target="https://www.cdc.gov/tb/publications/factsheets/drtb/xdrtb.htm" TargetMode="External" /><Relationship Type="http://schemas.openxmlformats.org/officeDocument/2006/relationships/hyperlink" Id="rId81" Target="https://www.mcgill.ca/oss/article/health-and-nutrition/malaria-vaccines-success-story-hides-legitimate-concerns" TargetMode="External" /><Relationship Type="http://schemas.openxmlformats.org/officeDocument/2006/relationships/hyperlink" Id="rId109" Target="https://www.nicd.ac.za/wp-content/uploads/2019/11/2019-ART-Clinical-Guidelines-25-Nov.pdf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75" Target="http://www.imperial.ac.uk/medicine/departments/school-public-health/infectious-disease-epidemiology/mrc-global-infectious-disease-analysis/covid-19/report-49-omicron/" TargetMode="External" /><Relationship Type="http://schemas.openxmlformats.org/officeDocument/2006/relationships/hyperlink" Id="rId73" Target="http://www.ncbi.nlm.nih.gov/books/NBK554533/" TargetMode="External" /><Relationship Type="http://schemas.openxmlformats.org/officeDocument/2006/relationships/hyperlink" Id="rId58" Target="http://www.ncbi.nlm.nih.gov/pmc/articles/PMC191463/" TargetMode="External" /><Relationship Type="http://schemas.openxmlformats.org/officeDocument/2006/relationships/hyperlink" Id="rId83" Target="https://doi.org/10.1007/82_2016_496" TargetMode="External" /><Relationship Type="http://schemas.openxmlformats.org/officeDocument/2006/relationships/hyperlink" Id="rId79" Target="https://doi.org/10.1016/S1473-3099(17)30048-8" TargetMode="External" /><Relationship Type="http://schemas.openxmlformats.org/officeDocument/2006/relationships/hyperlink" Id="rId103" Target="https://doi.org/10.1016/S1473-3099(21)00168-7" TargetMode="External" /><Relationship Type="http://schemas.openxmlformats.org/officeDocument/2006/relationships/hyperlink" Id="rId69" Target="https://doi.org/10.1016/j.cois.2014.07.004" TargetMode="External" /><Relationship Type="http://schemas.openxmlformats.org/officeDocument/2006/relationships/hyperlink" Id="rId46" Target="https://doi.org/10.1016/j.vaccine.2010.03.075" TargetMode="External" /><Relationship Type="http://schemas.openxmlformats.org/officeDocument/2006/relationships/hyperlink" Id="rId67" Target="https://doi.org/10.1038/nature10388" TargetMode="External" /><Relationship Type="http://schemas.openxmlformats.org/officeDocument/2006/relationships/hyperlink" Id="rId95" Target="https://doi.org/10.1038/nmicrobiol.2017.112" TargetMode="External" /><Relationship Type="http://schemas.openxmlformats.org/officeDocument/2006/relationships/hyperlink" Id="rId71" Target="https://doi.org/10.1038/s42003-020-01545-5" TargetMode="External" /><Relationship Type="http://schemas.openxmlformats.org/officeDocument/2006/relationships/hyperlink" Id="rId48" Target="https://doi.org/10.1056/NEJMoa1314981" TargetMode="External" /><Relationship Type="http://schemas.openxmlformats.org/officeDocument/2006/relationships/hyperlink" Id="rId54" Target="https://doi.org/10.1073/pnas.0402298101" TargetMode="External" /><Relationship Type="http://schemas.openxmlformats.org/officeDocument/2006/relationships/hyperlink" Id="rId107" Target="https://doi.org/10.1073/pnas.082188899" TargetMode="External" /><Relationship Type="http://schemas.openxmlformats.org/officeDocument/2006/relationships/hyperlink" Id="rId90" Target="https://doi.org/10.1073/pnas.092142499" TargetMode="External" /><Relationship Type="http://schemas.openxmlformats.org/officeDocument/2006/relationships/hyperlink" Id="rId56" Target="https://doi.org/10.1073/pnas.241517298" TargetMode="External" /><Relationship Type="http://schemas.openxmlformats.org/officeDocument/2006/relationships/hyperlink" Id="rId52" Target="https://doi.org/10.1073/pnas.70.8.2276" TargetMode="External" /><Relationship Type="http://schemas.openxmlformats.org/officeDocument/2006/relationships/hyperlink" Id="rId60" Target="https://doi.org/10.1073/pnas.94.22.12106" TargetMode="External" /><Relationship Type="http://schemas.openxmlformats.org/officeDocument/2006/relationships/hyperlink" Id="rId62" Target="https://doi.org/10.1080/23299460.2017.1419410" TargetMode="External" /><Relationship Type="http://schemas.openxmlformats.org/officeDocument/2006/relationships/hyperlink" Id="rId115" Target="https://doi.org/10.1101/2023.09.26.559659" TargetMode="External" /><Relationship Type="http://schemas.openxmlformats.org/officeDocument/2006/relationships/hyperlink" Id="rId85" Target="https://doi.org/10.1111/j.1752-4571.2009.00072.x" TargetMode="External" /><Relationship Type="http://schemas.openxmlformats.org/officeDocument/2006/relationships/hyperlink" Id="rId97" Target="https://doi.org/10.1126/science.1165326" TargetMode="External" /><Relationship Type="http://schemas.openxmlformats.org/officeDocument/2006/relationships/hyperlink" Id="rId92" Target="https://doi.org/10.1136/bmj.j3418" TargetMode="External" /><Relationship Type="http://schemas.openxmlformats.org/officeDocument/2006/relationships/hyperlink" Id="rId44" Target="https://doi.org/10.1186/1475-2875-10-144" TargetMode="External" /><Relationship Type="http://schemas.openxmlformats.org/officeDocument/2006/relationships/hyperlink" Id="rId105" Target="https://doi.org/10.1186/1475-2875-13-66" TargetMode="External" /><Relationship Type="http://schemas.openxmlformats.org/officeDocument/2006/relationships/hyperlink" Id="rId101" Target="https://doi.org/10.1371/journal.pgph.0000063" TargetMode="External" /><Relationship Type="http://schemas.openxmlformats.org/officeDocument/2006/relationships/hyperlink" Id="rId111" Target="https://doi.org/10.1371/journal.pone.0046407" TargetMode="External" /><Relationship Type="http://schemas.openxmlformats.org/officeDocument/2006/relationships/hyperlink" Id="rId50" Target="https://doi.org/10.1371/journal.pone.0146834" TargetMode="External" /><Relationship Type="http://schemas.openxmlformats.org/officeDocument/2006/relationships/hyperlink" Id="rId88" Target="https://doi.org/10.3201/eid0804.010312" TargetMode="External" /><Relationship Type="http://schemas.openxmlformats.org/officeDocument/2006/relationships/hyperlink" Id="rId113" Target="https://doi.org/10.3390/v14081684" TargetMode="External" /><Relationship Type="http://schemas.openxmlformats.org/officeDocument/2006/relationships/hyperlink" Id="rId99" Target="https://doi.org/10.4324/9780429299759" TargetMode="External" /><Relationship Type="http://schemas.openxmlformats.org/officeDocument/2006/relationships/hyperlink" Id="rId42" Target="https://en.wikipedia.org/wiki/DDT#Mosquito_resistance" TargetMode="External" /><Relationship Type="http://schemas.openxmlformats.org/officeDocument/2006/relationships/hyperlink" Id="rId33" Target="https://twitter.com/ProfDavidLSmith/status/1504110201875562504" TargetMode="External" /><Relationship Type="http://schemas.openxmlformats.org/officeDocument/2006/relationships/hyperlink" Id="rId77" Target="https://web.archive.org/web/20160416165010/http://gladwell.com/the-mosquito-killer/" TargetMode="External" /><Relationship Type="http://schemas.openxmlformats.org/officeDocument/2006/relationships/hyperlink" Id="rId64" Target="https://www.cdc.gov/tb/publications/factsheets/drtb/xdrtb.htm" TargetMode="External" /><Relationship Type="http://schemas.openxmlformats.org/officeDocument/2006/relationships/hyperlink" Id="rId81" Target="https://www.mcgill.ca/oss/article/health-and-nutrition/malaria-vaccines-success-story-hides-legitimate-concerns" TargetMode="External" /><Relationship Type="http://schemas.openxmlformats.org/officeDocument/2006/relationships/hyperlink" Id="rId109" Target="https://www.nicd.ac.za/wp-content/uploads/2019/11/2019-ART-Clinical-Guidelines-25-Nov.pd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evolution of parasite countermeasures</dc:title>
  <dc:creator/>
  <cp:keywords/>
  <dcterms:created xsi:type="dcterms:W3CDTF">2023-11-26T21:37:09Z</dcterms:created>
  <dcterms:modified xsi:type="dcterms:W3CDTF">2023-11-26T21:37:09Z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../eeid.bib</vt:lpwstr>
  </property>
  <property fmtid="{D5CDD505-2E9C-101B-9397-08002B2CF9AE}" pid="3" name="csl">
    <vt:lpwstr>apa.csl</vt:lpwstr>
  </property>
  <property fmtid="{D5CDD505-2E9C-101B-9397-08002B2CF9AE}" pid="4" name="date">
    <vt:lpwstr>6 Nov 2023</vt:lpwstr>
  </property>
  <property fmtid="{D5CDD505-2E9C-101B-9397-08002B2CF9AE}" pid="5" name="header-includes">
    <vt:lpwstr/>
  </property>
</Properties>
</file>