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Override PartName="/word/media/rId24.png" ContentType="image/png"/>
  <Override PartName="/word/media/rId27.png" ContentType="image/png"/>
  <Override PartName="/word/media/rId31.png" ContentType="image/png"/>
  <Override PartName="/word/media/rId34.png" ContentType="image/png"/>
  <Override PartName="/word/media/rId37.png" ContentType="image/png"/>
  <Override PartName="/word/media/rId4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Within-host dynamics</w:t>
      </w:r>
    </w:p>
    <w:bookmarkStart w:id="20" w:name="X091ad0acdb5baa07a7725d9e52aa2d02fc41fc3"/>
    <w:p>
      <w:pPr>
        <w:pStyle w:val="Heading2"/>
      </w:pPr>
      <w:r>
        <w:t xml:space="preserve">Understanding within-host host-parasite interactions (focus on dynamics)</w:t>
      </w:r>
    </w:p>
    <w:p>
      <w:pPr>
        <w:pStyle w:val="FirstParagraph"/>
      </w:pPr>
      <w:r>
        <w:t xml:space="preserve">Lots of molecular biology, genetics (</w:t>
      </w:r>
      <w:r>
        <w:rPr>
          <w:i/>
          <w:iCs/>
        </w:rPr>
        <w:t xml:space="preserve">recognition</w:t>
      </w:r>
      <w:r>
        <w:t xml:space="preserve"> </w:t>
      </w:r>
      <w:r>
        <w:t xml:space="preserve">mechanisms and</w:t>
      </w:r>
      <w:r>
        <w:t xml:space="preserve"> </w:t>
      </w:r>
      <w:r>
        <w:rPr>
          <w:i/>
          <w:iCs/>
        </w:rPr>
        <w:t xml:space="preserve">effector</w:t>
      </w:r>
      <w:r>
        <w:t xml:space="preserve"> </w:t>
      </w:r>
      <w:r>
        <w:t xml:space="preserve">mechanisms), won’t deal with that now.</w:t>
      </w:r>
    </w:p>
    <w:p>
      <w:pPr>
        <w:pStyle w:val="BodyText"/>
      </w:pPr>
      <w:r>
        <w:t xml:space="preserve">Interaction between different components of the immune system (modeled at different levels of detail/realism), parasite populations (maybe in multiple compartments?)</w:t>
      </w:r>
    </w:p>
    <w:p>
      <w:pPr>
        <w:pStyle w:val="BodyText"/>
      </w:pPr>
      <w:r>
        <w:t xml:space="preserve">Longitudinal data (relatively rare), distributional data.</w:t>
      </w:r>
    </w:p>
    <w:bookmarkEnd w:id="20"/>
    <w:bookmarkStart w:id="30" w:name="hiv-dynamics-under-ineffective-treatment"/>
    <w:p>
      <w:pPr>
        <w:pStyle w:val="Heading2"/>
      </w:pPr>
      <w:r>
        <w:t xml:space="preserve">HIV dynamics under (ineffective) treatment</w:t>
      </w:r>
    </w:p>
    <w:p>
      <w:pPr>
        <w:pStyle w:val="FirstParagraph"/>
      </w:pPr>
      <w:r>
        <w:t xml:space="preserve">Bonhoeffer, Coffin, and Nowak (1997)</w:t>
      </w:r>
    </w:p>
    <w:p>
      <w:pPr>
        <w:pStyle w:val="Compact"/>
        <w:numPr>
          <w:ilvl w:val="0"/>
          <w:numId w:val="1001"/>
        </w:numPr>
      </w:pPr>
      <w:r>
        <w:t xml:space="preserve">Early HIV antivirals: relatively ineffective due to rapid mutation</w:t>
      </w:r>
    </w:p>
    <w:p>
      <w:pPr>
        <w:pStyle w:val="Compact"/>
        <w:numPr>
          <w:ilvl w:val="0"/>
          <w:numId w:val="1001"/>
        </w:numPr>
      </w:pPr>
      <w:r>
        <w:t xml:space="preserve">Large decline in virus loads (up to 300-fold decline in viral RNA in some patients)</w:t>
      </w:r>
    </w:p>
    <w:p>
      <w:pPr>
        <w:pStyle w:val="Compact"/>
        <w:numPr>
          <w:ilvl w:val="0"/>
          <w:numId w:val="1001"/>
        </w:numPr>
      </w:pPr>
      <w:r>
        <w:t xml:space="preserve">but no clearance</w:t>
      </w:r>
    </w:p>
    <w:p>
      <w:pPr>
        <w:pStyle w:val="Compact"/>
        <w:numPr>
          <w:ilvl w:val="0"/>
          <w:numId w:val="1001"/>
        </w:numPr>
      </w:pPr>
      <w:r>
        <w:rPr>
          <w:b/>
          <w:bCs/>
        </w:rPr>
        <w:t xml:space="preserve">within-host</w:t>
      </w:r>
      <w:r>
        <w:t xml:space="preserve"> </w:t>
      </w:r>
      <m:oMath>
        <m:sSub>
          <m:e>
            <m:r>
              <m:t>R</m:t>
            </m:r>
          </m:e>
          <m:sub>
            <m:r>
              <m:t>0</m:t>
            </m:r>
          </m:sub>
        </m:sSub>
        <m:r>
          <m:rPr>
            <m:sty m:val="p"/>
          </m:rPr>
          <m:t>≈</m:t>
        </m:r>
        <m:r>
          <m:t>50</m:t>
        </m:r>
      </m:oMath>
    </w:p>
    <w:p>
      <w:pPr>
        <w:pStyle w:val="FirstParagraph"/>
      </w:pPr>
      <w:r>
        <w:drawing>
          <wp:inline>
            <wp:extent cx="5334000" cy="4570760"/>
            <wp:effectExtent b="0" l="0" r="0" t="0"/>
            <wp:docPr descr="" title="" id="22" name="Picture"/>
            <a:graphic>
              <a:graphicData uri="http://schemas.openxmlformats.org/drawingml/2006/picture">
                <pic:pic>
                  <pic:nvPicPr>
                    <pic:cNvPr descr="pix/bonhoeffer_fig1.png" id="23" name="Picture"/>
                    <pic:cNvPicPr>
                      <a:picLocks noChangeArrowheads="1" noChangeAspect="1"/>
                    </pic:cNvPicPr>
                  </pic:nvPicPr>
                  <pic:blipFill>
                    <a:blip r:embed="rId21"/>
                    <a:stretch>
                      <a:fillRect/>
                    </a:stretch>
                  </pic:blipFill>
                  <pic:spPr bwMode="auto">
                    <a:xfrm>
                      <a:off x="0" y="0"/>
                      <a:ext cx="5334000" cy="4570760"/>
                    </a:xfrm>
                    <a:prstGeom prst="rect">
                      <a:avLst/>
                    </a:prstGeom>
                    <a:noFill/>
                    <a:ln w="9525">
                      <a:noFill/>
                      <a:headEnd/>
                      <a:tailEnd/>
                    </a:ln>
                  </pic:spPr>
                </pic:pic>
              </a:graphicData>
            </a:graphic>
          </wp:inline>
        </w:drawing>
      </w:r>
    </w:p>
    <w:p>
      <w:pPr>
        <w:pStyle w:val="BodyText"/>
      </w:pPr>
      <w:r>
        <w:drawing>
          <wp:inline>
            <wp:extent cx="5334000" cy="4258733"/>
            <wp:effectExtent b="0" l="0" r="0" t="0"/>
            <wp:docPr descr="" title="" id="25" name="Picture"/>
            <a:graphic>
              <a:graphicData uri="http://schemas.openxmlformats.org/drawingml/2006/picture">
                <pic:pic>
                  <pic:nvPicPr>
                    <pic:cNvPr descr="pix/bonhoeffer_fig2.png" id="26" name="Picture"/>
                    <pic:cNvPicPr>
                      <a:picLocks noChangeArrowheads="1" noChangeAspect="1"/>
                    </pic:cNvPicPr>
                  </pic:nvPicPr>
                  <pic:blipFill>
                    <a:blip r:embed="rId24"/>
                    <a:stretch>
                      <a:fillRect/>
                    </a:stretch>
                  </pic:blipFill>
                  <pic:spPr bwMode="auto">
                    <a:xfrm>
                      <a:off x="0" y="0"/>
                      <a:ext cx="5334000" cy="4258733"/>
                    </a:xfrm>
                    <a:prstGeom prst="rect">
                      <a:avLst/>
                    </a:prstGeom>
                    <a:noFill/>
                    <a:ln w="9525">
                      <a:noFill/>
                      <a:headEnd/>
                      <a:tailEnd/>
                    </a:ln>
                  </pic:spPr>
                </pic:pic>
              </a:graphicData>
            </a:graphic>
          </wp:inline>
        </w:drawing>
      </w:r>
    </w:p>
    <w:p>
      <w:pPr>
        <w:pStyle w:val="Compact"/>
        <w:numPr>
          <w:ilvl w:val="0"/>
          <w:numId w:val="1002"/>
        </w:numPr>
      </w:pPr>
      <w:r>
        <w:t xml:space="preserve">“virus load paradox”</w:t>
      </w:r>
      <w:r>
        <w:t xml:space="preserve">: if</w:t>
      </w:r>
      <w:r>
        <w:t xml:space="preserve"> </w:t>
      </w:r>
      <m:oMath>
        <m:sSub>
          <m:e>
            <m:r>
              <m:t>R</m:t>
            </m:r>
          </m:e>
          <m:sub>
            <m:r>
              <m:t>0</m:t>
            </m:r>
          </m:sub>
        </m:sSub>
      </m:oMath>
      <w:r>
        <w:t xml:space="preserve"> </w:t>
      </w:r>
      <w:r>
        <w:t xml:space="preserve">is initially 50, we would have to reduce it to slightly above 1 but never</w:t>
      </w:r>
      <w:r>
        <w:t xml:space="preserve"> </w:t>
      </w:r>
      <w:r>
        <w:rPr>
          <w:b/>
          <w:bCs/>
        </w:rPr>
        <w:t xml:space="preserve">below</w:t>
      </w:r>
      <w:r>
        <w:t xml:space="preserve"> </w:t>
      </w:r>
      <w:r>
        <w:t xml:space="preserve">1 to see these results.</w:t>
      </w:r>
    </w:p>
    <w:p>
      <w:pPr>
        <w:pStyle w:val="FirstParagraph"/>
      </w:pPr>
      <m:oMathPara>
        <m:oMathParaPr>
          <m:jc m:val="center"/>
        </m:oMathParaPr>
        <m:oMath>
          <m:m>
            <m:mPr>
              <m:baseJc m:val="center"/>
              <m:plcHide m:val="on"/>
              <m:mcs>
                <m:mc>
                  <m:mcPr>
                    <m:mcJc m:val="right"/>
                    <m:count m:val="1"/>
                  </m:mcPr>
                </m:mc>
                <m:mc>
                  <m:mcPr>
                    <m:mcJc m:val="left"/>
                    <m:count m:val="1"/>
                  </m:mcPr>
                </m:mc>
              </m:mcs>
            </m:mPr>
            <m:mr>
              <m:e>
                <m:f>
                  <m:fPr>
                    <m:type m:val="bar"/>
                  </m:fPr>
                  <m:num>
                    <m:r>
                      <m:t>d</m:t>
                    </m:r>
                    <m:r>
                      <m:t>C</m:t>
                    </m:r>
                  </m:num>
                  <m:den>
                    <m:r>
                      <m:t>d</m:t>
                    </m:r>
                    <m:r>
                      <m:t>t</m:t>
                    </m:r>
                  </m:den>
                </m:f>
              </m:e>
              <m:e>
                <m:r>
                  <m:rPr>
                    <m:sty m:val="p"/>
                  </m:rPr>
                  <m:t>=</m:t>
                </m:r>
                <m:r>
                  <m:t>λ</m:t>
                </m:r>
                <m:r>
                  <m:rPr>
                    <m:sty m:val="p"/>
                  </m:rPr>
                  <m:t>−</m:t>
                </m:r>
                <m:r>
                  <m:t>μ</m:t>
                </m:r>
                <m:r>
                  <m:t>C</m:t>
                </m:r>
                <m:r>
                  <m:rPr>
                    <m:sty m:val="p"/>
                  </m:rPr>
                  <m:t>−</m:t>
                </m:r>
                <m:r>
                  <m:t>β</m:t>
                </m:r>
                <m:r>
                  <m:t>C</m:t>
                </m:r>
                <m:r>
                  <m:t>V</m:t>
                </m:r>
              </m:e>
            </m:mr>
            <m:mr>
              <m:e>
                <m:f>
                  <m:fPr>
                    <m:type m:val="bar"/>
                  </m:fPr>
                  <m:num>
                    <m:r>
                      <m:t>d</m:t>
                    </m:r>
                    <m:r>
                      <m:t>V</m:t>
                    </m:r>
                  </m:num>
                  <m:den>
                    <m:r>
                      <m:t>d</m:t>
                    </m:r>
                    <m:r>
                      <m:t>t</m:t>
                    </m:r>
                  </m:den>
                </m:f>
              </m:e>
              <m:e>
                <m:r>
                  <m:rPr>
                    <m:sty m:val="p"/>
                  </m:rPr>
                  <m:t>=</m:t>
                </m:r>
                <m:r>
                  <m:t>β</m:t>
                </m:r>
                <m:r>
                  <m:t>C</m:t>
                </m:r>
                <m:r>
                  <m:t>V</m:t>
                </m:r>
                <m:r>
                  <m:rPr>
                    <m:sty m:val="p"/>
                  </m:rPr>
                  <m:t>−</m:t>
                </m:r>
                <m:r>
                  <m:t>a</m:t>
                </m:r>
                <m:r>
                  <m:t>V</m:t>
                </m:r>
              </m:e>
            </m:mr>
          </m:m>
        </m:oMath>
      </m:oMathPara>
    </w:p>
    <w:p>
      <w:pPr>
        <w:pStyle w:val="Compact"/>
        <w:numPr>
          <w:ilvl w:val="0"/>
          <w:numId w:val="1003"/>
        </w:numPr>
      </w:pPr>
      <w:r>
        <w:t xml:space="preserve">add a drug-resistant type to the model</w:t>
      </w:r>
    </w:p>
    <w:p>
      <w:pPr>
        <w:pStyle w:val="Compact"/>
        <w:numPr>
          <w:ilvl w:val="0"/>
          <w:numId w:val="1003"/>
        </w:numPr>
      </w:pPr>
      <w:r>
        <w:t xml:space="preserve">add mutation (and back-mutation) to the model</w:t>
      </w:r>
    </w:p>
    <w:p>
      <w:pPr>
        <w:pStyle w:val="Compact"/>
        <w:numPr>
          <w:ilvl w:val="0"/>
          <w:numId w:val="1003"/>
        </w:numPr>
      </w:pPr>
      <w:r>
        <w:t xml:space="preserve">add immune responses (</w:t>
      </w:r>
      <m:oMath>
        <m:r>
          <m:t>d</m:t>
        </m:r>
        <m:r>
          <m:t>z</m:t>
        </m:r>
        <m:r>
          <m:rPr>
            <m:sty m:val="p"/>
          </m:rPr>
          <m:t>/</m:t>
        </m:r>
        <m:r>
          <m:t>d</m:t>
        </m:r>
        <m:r>
          <m:t>t</m:t>
        </m:r>
        <m:r>
          <m:rPr>
            <m:sty m:val="p"/>
          </m:rPr>
          <m:t>=</m:t>
        </m:r>
        <m:r>
          <m:t>k</m:t>
        </m:r>
        <m:r>
          <m:t>V</m:t>
        </m:r>
        <m:r>
          <m:rPr>
            <m:sty m:val="p"/>
          </m:rPr>
          <m:t>−</m:t>
        </m:r>
        <m:r>
          <m:t>γ</m:t>
        </m:r>
        <m:r>
          <m:t>z</m:t>
        </m:r>
      </m:oMath>
      <w:r>
        <w:t xml:space="preserve">)</w:t>
      </w:r>
    </w:p>
    <w:p>
      <w:pPr>
        <w:pStyle w:val="Compact"/>
        <w:numPr>
          <w:ilvl w:val="0"/>
          <w:numId w:val="1003"/>
        </w:numPr>
      </w:pPr>
      <w:r>
        <w:t xml:space="preserve">homeostasis of infectible cells (logistic growth)</w:t>
      </w:r>
    </w:p>
    <w:p>
      <w:pPr>
        <w:pStyle w:val="Compact"/>
        <w:numPr>
          <w:ilvl w:val="0"/>
          <w:numId w:val="1003"/>
        </w:numPr>
      </w:pPr>
      <w:r>
        <w:t xml:space="preserve">virus-induced killing of uninfected cells (e.g. gp120 shedding)</w:t>
      </w:r>
    </w:p>
    <w:p>
      <w:pPr>
        <w:pStyle w:val="Compact"/>
        <w:numPr>
          <w:ilvl w:val="0"/>
          <w:numId w:val="1003"/>
        </w:numPr>
      </w:pPr>
      <w:r>
        <w:t xml:space="preserve">differential effects of drug on different types</w:t>
      </w:r>
    </w:p>
    <w:p>
      <w:pPr>
        <w:pStyle w:val="Compact"/>
        <w:numPr>
          <w:ilvl w:val="0"/>
          <w:numId w:val="1003"/>
        </w:numPr>
      </w:pPr>
      <w:r>
        <w:t xml:space="preserve">distribution of infectibility</w:t>
      </w:r>
    </w:p>
    <w:p>
      <w:pPr>
        <w:pStyle w:val="FirstParagraph"/>
      </w:pPr>
      <w:r>
        <w:drawing>
          <wp:inline>
            <wp:extent cx="5334000" cy="1861530"/>
            <wp:effectExtent b="0" l="0" r="0" t="0"/>
            <wp:docPr descr="" title="" id="28" name="Picture"/>
            <a:graphic>
              <a:graphicData uri="http://schemas.openxmlformats.org/drawingml/2006/picture">
                <pic:pic>
                  <pic:nvPicPr>
                    <pic:cNvPr descr="pix/bonhoeffer_fig3.png" id="29" name="Picture"/>
                    <pic:cNvPicPr>
                      <a:picLocks noChangeArrowheads="1" noChangeAspect="1"/>
                    </pic:cNvPicPr>
                  </pic:nvPicPr>
                  <pic:blipFill>
                    <a:blip r:embed="rId27"/>
                    <a:stretch>
                      <a:fillRect/>
                    </a:stretch>
                  </pic:blipFill>
                  <pic:spPr bwMode="auto">
                    <a:xfrm>
                      <a:off x="0" y="0"/>
                      <a:ext cx="5334000" cy="1861530"/>
                    </a:xfrm>
                    <a:prstGeom prst="rect">
                      <a:avLst/>
                    </a:prstGeom>
                    <a:noFill/>
                    <a:ln w="9525">
                      <a:noFill/>
                      <a:headEnd/>
                      <a:tailEnd/>
                    </a:ln>
                  </pic:spPr>
                </pic:pic>
              </a:graphicData>
            </a:graphic>
          </wp:inline>
        </w:drawing>
      </w:r>
    </w:p>
    <w:bookmarkEnd w:id="30"/>
    <w:bookmarkStart w:id="40" w:name="X016353cc8b0c145c5d081fb850868bfb6ed9b25"/>
    <w:p>
      <w:pPr>
        <w:pStyle w:val="Heading2"/>
      </w:pPr>
      <w:r>
        <w:t xml:space="preserve">Within-host (and within-cell) dynamics of salmonella</w:t>
      </w:r>
    </w:p>
    <w:p>
      <w:pPr>
        <w:pStyle w:val="Compact"/>
        <w:numPr>
          <w:ilvl w:val="0"/>
          <w:numId w:val="1004"/>
        </w:numPr>
      </w:pPr>
      <w:r>
        <w:t xml:space="preserve">intracellular bacterium</w:t>
      </w:r>
    </w:p>
    <w:p>
      <w:pPr>
        <w:pStyle w:val="FirstParagraph"/>
      </w:pPr>
      <w:r>
        <w:t xml:space="preserve">Brown et al. (2006)</w:t>
      </w:r>
    </w:p>
    <w:p>
      <w:pPr>
        <w:pStyle w:val="Compact"/>
        <w:numPr>
          <w:ilvl w:val="0"/>
          <w:numId w:val="1005"/>
        </w:numPr>
      </w:pPr>
      <w:r>
        <w:t xml:space="preserve">model:</w:t>
      </w:r>
    </w:p>
    <w:p>
      <w:pPr>
        <w:pStyle w:val="FirstParagraph"/>
      </w:pPr>
      <w:r>
        <w:drawing>
          <wp:inline>
            <wp:extent cx="1668000" cy="901800"/>
            <wp:effectExtent b="0" l="0" r="0" t="0"/>
            <wp:docPr descr="" title="" id="32" name="Picture"/>
            <a:graphic>
              <a:graphicData uri="http://schemas.openxmlformats.org/drawingml/2006/picture">
                <pic:pic>
                  <pic:nvPicPr>
                    <pic:cNvPr descr="pix/brown_salmonella_fig1.png" id="33" name="Picture"/>
                    <pic:cNvPicPr>
                      <a:picLocks noChangeArrowheads="1" noChangeAspect="1"/>
                    </pic:cNvPicPr>
                  </pic:nvPicPr>
                  <pic:blipFill>
                    <a:blip r:embed="rId31"/>
                    <a:stretch>
                      <a:fillRect/>
                    </a:stretch>
                  </pic:blipFill>
                  <pic:spPr bwMode="auto">
                    <a:xfrm>
                      <a:off x="0" y="0"/>
                      <a:ext cx="1668000" cy="901800"/>
                    </a:xfrm>
                    <a:prstGeom prst="rect">
                      <a:avLst/>
                    </a:prstGeom>
                    <a:noFill/>
                    <a:ln w="9525">
                      <a:noFill/>
                      <a:headEnd/>
                      <a:tailEnd/>
                    </a:ln>
                  </pic:spPr>
                </pic:pic>
              </a:graphicData>
            </a:graphic>
          </wp:inline>
        </w:drawing>
      </w:r>
    </w:p>
    <w:p>
      <w:pPr>
        <w:pStyle w:val="Compact"/>
        <w:numPr>
          <w:ilvl w:val="0"/>
          <w:numId w:val="1006"/>
        </w:numPr>
      </w:pPr>
      <w:r>
        <w:t xml:space="preserve">assume that host cells are always available (infinite</w:t>
      </w:r>
      <w:r>
        <w:t xml:space="preserve"> </w:t>
      </w:r>
      <m:oMath>
        <m:r>
          <m:t>S</m:t>
        </m:r>
      </m:oMath>
      <w:r>
        <w:t xml:space="preserve">)</w:t>
      </w:r>
    </w:p>
    <w:p>
      <w:pPr>
        <w:pStyle w:val="FirstParagraph"/>
      </w:pPr>
      <w:r>
        <w:drawing>
          <wp:inline>
            <wp:extent cx="1200000" cy="955800"/>
            <wp:effectExtent b="0" l="0" r="0" t="0"/>
            <wp:docPr descr="" title="" id="35" name="Picture"/>
            <a:graphic>
              <a:graphicData uri="http://schemas.openxmlformats.org/drawingml/2006/picture">
                <pic:pic>
                  <pic:nvPicPr>
                    <pic:cNvPr descr="pix/brown_salmonella_fig2.png" id="36" name="Picture"/>
                    <pic:cNvPicPr>
                      <a:picLocks noChangeArrowheads="1" noChangeAspect="1"/>
                    </pic:cNvPicPr>
                  </pic:nvPicPr>
                  <pic:blipFill>
                    <a:blip r:embed="rId34"/>
                    <a:stretch>
                      <a:fillRect/>
                    </a:stretch>
                  </pic:blipFill>
                  <pic:spPr bwMode="auto">
                    <a:xfrm>
                      <a:off x="0" y="0"/>
                      <a:ext cx="1200000" cy="955800"/>
                    </a:xfrm>
                    <a:prstGeom prst="rect">
                      <a:avLst/>
                    </a:prstGeom>
                    <a:noFill/>
                    <a:ln w="9525">
                      <a:noFill/>
                      <a:headEnd/>
                      <a:tailEnd/>
                    </a:ln>
                  </pic:spPr>
                </pic:pic>
              </a:graphicData>
            </a:graphic>
          </wp:inline>
        </w:drawing>
      </w:r>
    </w:p>
    <w:p>
      <w:pPr>
        <w:pStyle w:val="Compact"/>
        <w:numPr>
          <w:ilvl w:val="0"/>
          <w:numId w:val="1007"/>
        </w:numPr>
      </w:pPr>
      <w:r>
        <w:t xml:space="preserve">distribution: two categories, or a range of</w:t>
      </w:r>
      <w:r>
        <w:t xml:space="preserve"> </w:t>
      </w:r>
      <w:r>
        <w:rPr>
          <w:b/>
          <w:bCs/>
        </w:rPr>
        <w:t xml:space="preserve">burst sizes</w:t>
      </w:r>
      <w:r>
        <w:t xml:space="preserve">?</w:t>
      </w:r>
    </w:p>
    <w:p>
      <w:pPr>
        <w:pStyle w:val="FirstParagraph"/>
      </w:pPr>
      <w:r>
        <w:drawing>
          <wp:inline>
            <wp:extent cx="1201200" cy="885600"/>
            <wp:effectExtent b="0" l="0" r="0" t="0"/>
            <wp:docPr descr="" title="" id="38" name="Picture"/>
            <a:graphic>
              <a:graphicData uri="http://schemas.openxmlformats.org/drawingml/2006/picture">
                <pic:pic>
                  <pic:nvPicPr>
                    <pic:cNvPr descr="pix/brown_salmonella_fig3.png" id="39" name="Picture"/>
                    <pic:cNvPicPr>
                      <a:picLocks noChangeArrowheads="1" noChangeAspect="1"/>
                    </pic:cNvPicPr>
                  </pic:nvPicPr>
                  <pic:blipFill>
                    <a:blip r:embed="rId37"/>
                    <a:stretch>
                      <a:fillRect/>
                    </a:stretch>
                  </pic:blipFill>
                  <pic:spPr bwMode="auto">
                    <a:xfrm>
                      <a:off x="0" y="0"/>
                      <a:ext cx="1201200" cy="885600"/>
                    </a:xfrm>
                    <a:prstGeom prst="rect">
                      <a:avLst/>
                    </a:prstGeom>
                    <a:noFill/>
                    <a:ln w="9525">
                      <a:noFill/>
                      <a:headEnd/>
                      <a:tailEnd/>
                    </a:ln>
                  </pic:spPr>
                </pic:pic>
              </a:graphicData>
            </a:graphic>
          </wp:inline>
        </w:drawing>
      </w:r>
    </w:p>
    <w:p>
      <w:pPr>
        <w:pStyle w:val="Compact"/>
        <w:numPr>
          <w:ilvl w:val="0"/>
          <w:numId w:val="1008"/>
        </w:numPr>
      </w:pPr>
      <w:r>
        <w:t xml:space="preserve">“constitutive”</w:t>
      </w:r>
      <w:r>
        <w:t xml:space="preserve"> </w:t>
      </w:r>
      <w:r>
        <w:t xml:space="preserve">vs</w:t>
      </w:r>
      <w:r>
        <w:t xml:space="preserve"> </w:t>
      </w:r>
      <w:r>
        <w:t xml:space="preserve">“stochastic”</w:t>
      </w:r>
      <w:r>
        <w:t xml:space="preserve"> </w:t>
      </w:r>
      <w:r>
        <w:t xml:space="preserve">models</w:t>
      </w:r>
    </w:p>
    <w:p>
      <w:pPr>
        <w:pStyle w:val="Compact"/>
        <w:numPr>
          <w:ilvl w:val="0"/>
          <w:numId w:val="1008"/>
        </w:numPr>
      </w:pPr>
      <w:r>
        <w:t xml:space="preserve">density-dependence in growth and/or burst probability?</w:t>
      </w:r>
    </w:p>
    <w:p>
      <w:pPr>
        <w:pStyle w:val="Compact"/>
        <w:numPr>
          <w:ilvl w:val="0"/>
          <w:numId w:val="1008"/>
        </w:numPr>
      </w:pPr>
      <w:r>
        <w:t xml:space="preserve">extracellular killing (bactericidal) vs slowing/preventing intracellular growth (bacteriostatic)</w:t>
      </w:r>
    </w:p>
    <w:p>
      <w:pPr>
        <w:pStyle w:val="BlockText"/>
      </w:pPr>
      <w:r>
        <w:t xml:space="preserve">our analysis predicts that the efficacy of common extracellular antibiotics can be enhanced by supplementation with antibiotics slowing intracellular bacterial division [bacteriostatic drugs]. This implies that both bacteriostatic and bactericidal drugs can potentiate the therapeutic efficacy of extracellular antibiotics.</w:t>
      </w:r>
    </w:p>
    <w:bookmarkEnd w:id="40"/>
    <w:bookmarkStart w:id="44" w:name="bacterial-dynamics-in-drosophila"/>
    <w:p>
      <w:pPr>
        <w:pStyle w:val="Heading2"/>
      </w:pPr>
      <w:r>
        <w:t xml:space="preserve">Bacterial dynamics in Drosophila</w:t>
      </w:r>
    </w:p>
    <w:p>
      <w:pPr>
        <w:pStyle w:val="Compact"/>
        <w:numPr>
          <w:ilvl w:val="0"/>
          <w:numId w:val="1009"/>
        </w:numPr>
      </w:pPr>
      <w:r>
        <w:t xml:space="preserve">Duneau et al. (2017)</w:t>
      </w:r>
    </w:p>
    <w:p>
      <w:pPr>
        <w:pStyle w:val="FirstParagraph"/>
      </w:pPr>
      <w:r>
        <w:drawing>
          <wp:inline>
            <wp:extent cx="5334000" cy="4669028"/>
            <wp:effectExtent b="0" l="0" r="0" t="0"/>
            <wp:docPr descr="" title="" id="42" name="Picture"/>
            <a:graphic>
              <a:graphicData uri="http://schemas.openxmlformats.org/drawingml/2006/picture">
                <pic:pic>
                  <pic:nvPicPr>
                    <pic:cNvPr descr="pix/within_bacteria.jpg" id="43" name="Picture"/>
                    <pic:cNvPicPr>
                      <a:picLocks noChangeArrowheads="1" noChangeAspect="1"/>
                    </pic:cNvPicPr>
                  </pic:nvPicPr>
                  <pic:blipFill>
                    <a:blip r:embed="rId41"/>
                    <a:stretch>
                      <a:fillRect/>
                    </a:stretch>
                  </pic:blipFill>
                  <pic:spPr bwMode="auto">
                    <a:xfrm>
                      <a:off x="0" y="0"/>
                      <a:ext cx="5334000" cy="4669028"/>
                    </a:xfrm>
                    <a:prstGeom prst="rect">
                      <a:avLst/>
                    </a:prstGeom>
                    <a:noFill/>
                    <a:ln w="9525">
                      <a:noFill/>
                      <a:headEnd/>
                      <a:tailEnd/>
                    </a:ln>
                  </pic:spPr>
                </pic:pic>
              </a:graphicData>
            </a:graphic>
          </wp:inline>
        </w:drawing>
      </w:r>
    </w:p>
    <w:p>
      <w:pPr>
        <w:pStyle w:val="BlockText"/>
      </w:pPr>
      <w:r>
        <w:t xml:space="preserve">We have defined three parameters (</w:t>
      </w:r>
      <m:oMath>
        <m:sSup>
          <m:e>
            <m:r>
              <m:t>t</m:t>
            </m:r>
          </m:e>
          <m:sup>
            <m:r>
              <m:t>c</m:t>
            </m:r>
          </m:sup>
        </m:sSup>
      </m:oMath>
      <w:r>
        <w:t xml:space="preserve"> </w:t>
      </w:r>
      <w:r>
        <w:t xml:space="preserve">[average time to control],</w:t>
      </w:r>
      <w:r>
        <w:t xml:space="preserve"> </w:t>
      </w:r>
      <m:oMath>
        <m:r>
          <m:t>μ</m:t>
        </m:r>
      </m:oMath>
      <w:r>
        <w:t xml:space="preserve"> </w:t>
      </w:r>
      <w:r>
        <w:t xml:space="preserve">[early bacterial growth rate],</w:t>
      </w:r>
      <w:r>
        <w:t xml:space="preserve"> </w:t>
      </w:r>
      <m:oMath>
        <m:sSup>
          <m:e>
            <m:r>
              <m:t>n</m:t>
            </m:r>
          </m:e>
          <m:sup>
            <m:r>
              <m:rPr>
                <m:nor/>
                <m:sty m:val="p"/>
              </m:rPr>
              <m:t>Tip</m:t>
            </m:r>
          </m:sup>
        </m:sSup>
      </m:oMath>
      <w:r>
        <w:t xml:space="preserve"> </w:t>
      </w:r>
      <w:r>
        <w:t xml:space="preserve">[bacterial load above which the host cannot control infection]) that are sufficient to predict ultimate infection outcome, although we still do not know whether variation in those parameters is due to micro-environmental variation, uncontrolled plasticity in developmental history, somatic mutations, or other factors that are uncontrolled or uncontrollable in experiments (e.g. depth of penetration of the needle during injection, site at which bacteria accumulate etc.) and in nature (e.g. time since last meal or mating, psychological status of the fly etc.) …</w:t>
      </w:r>
    </w:p>
    <w:bookmarkEnd w:id="44"/>
    <w:bookmarkStart w:id="52" w:name="references"/>
    <w:p>
      <w:pPr>
        <w:pStyle w:val="Heading2"/>
      </w:pPr>
      <w:r>
        <w:t xml:space="preserve">References</w:t>
      </w:r>
    </w:p>
    <w:bookmarkStart w:id="51" w:name="refs"/>
    <w:bookmarkStart w:id="46" w:name="ref-bonhoeffer_human_1997"/>
    <w:p>
      <w:pPr>
        <w:pStyle w:val="Bibliography"/>
      </w:pPr>
      <w:r>
        <w:t xml:space="preserve">Bonhoeffer, S, J M Coffin, and M A Nowak. 1997.</w:t>
      </w:r>
      <w:r>
        <w:t xml:space="preserve"> </w:t>
      </w:r>
      <w:r>
        <w:t xml:space="preserve">“Human Immunodeficiency Virus Drug Therapy and Virus Load.”</w:t>
      </w:r>
      <w:r>
        <w:t xml:space="preserve"> </w:t>
      </w:r>
      <w:r>
        <w:rPr>
          <w:i/>
          <w:iCs/>
        </w:rPr>
        <w:t xml:space="preserve">Journal of Virology</w:t>
      </w:r>
      <w:r>
        <w:t xml:space="preserve"> </w:t>
      </w:r>
      <w:r>
        <w:t xml:space="preserve">71 (4): 3275–78.</w:t>
      </w:r>
      <w:r>
        <w:t xml:space="preserve"> </w:t>
      </w:r>
      <w:hyperlink r:id="rId45">
        <w:r>
          <w:rPr>
            <w:rStyle w:val="Hyperlink"/>
          </w:rPr>
          <w:t xml:space="preserve">http://www.ncbi.nlm.nih.gov/pmc/articles/PMC191463/</w:t>
        </w:r>
      </w:hyperlink>
      <w:r>
        <w:t xml:space="preserve">.</w:t>
      </w:r>
    </w:p>
    <w:bookmarkEnd w:id="46"/>
    <w:bookmarkStart w:id="48" w:name="ref-brown_intracellular_2006"/>
    <w:p>
      <w:pPr>
        <w:pStyle w:val="Bibliography"/>
      </w:pPr>
      <w:r>
        <w:t xml:space="preserve">Brown, Sam P, Stephen J Cornell, Mark Sheppard, Andrew J Grant, Duncan J Maskell, Bryan T Grenfell, and Pietro Mastroeni. 2006.</w:t>
      </w:r>
      <w:r>
        <w:t xml:space="preserve"> </w:t>
      </w:r>
      <w:r>
        <w:t xml:space="preserve">“Intracellular</w:t>
      </w:r>
      <w:r>
        <w:t xml:space="preserve"> </w:t>
      </w:r>
      <w:r>
        <w:t xml:space="preserve">Demography</w:t>
      </w:r>
      <w:r>
        <w:t xml:space="preserve"> </w:t>
      </w:r>
      <w:r>
        <w:t xml:space="preserve">and the</w:t>
      </w:r>
      <w:r>
        <w:t xml:space="preserve"> </w:t>
      </w:r>
      <w:r>
        <w:t xml:space="preserve">Dynamics</w:t>
      </w:r>
      <w:r>
        <w:t xml:space="preserve"> </w:t>
      </w:r>
      <w:r>
        <w:t xml:space="preserve">of</w:t>
      </w:r>
      <w:r>
        <w:t xml:space="preserve"> </w:t>
      </w:r>
      <w:r>
        <w:t xml:space="preserve">Salmonella</w:t>
      </w:r>
      <w:r>
        <w:t xml:space="preserve"> </w:t>
      </w:r>
      <w:r>
        <w:t xml:space="preserve">Enterica</w:t>
      </w:r>
      <w:r>
        <w:t xml:space="preserve"> </w:t>
      </w:r>
      <w:r>
        <w:t xml:space="preserve">Infections</w:t>
      </w:r>
      <w:r>
        <w:t xml:space="preserve">.”</w:t>
      </w:r>
      <w:r>
        <w:t xml:space="preserve"> </w:t>
      </w:r>
      <w:r>
        <w:rPr>
          <w:i/>
          <w:iCs/>
        </w:rPr>
        <w:t xml:space="preserve">PLoS Biol</w:t>
      </w:r>
      <w:r>
        <w:t xml:space="preserve"> </w:t>
      </w:r>
      <w:r>
        <w:t xml:space="preserve">4 (11): e349.</w:t>
      </w:r>
      <w:r>
        <w:t xml:space="preserve"> </w:t>
      </w:r>
      <w:hyperlink r:id="rId47">
        <w:r>
          <w:rPr>
            <w:rStyle w:val="Hyperlink"/>
          </w:rPr>
          <w:t xml:space="preserve">https://doi.org/10.1371/journal.pbio.0040349</w:t>
        </w:r>
      </w:hyperlink>
      <w:r>
        <w:t xml:space="preserve">.</w:t>
      </w:r>
    </w:p>
    <w:bookmarkEnd w:id="48"/>
    <w:bookmarkStart w:id="50" w:name="ref-duneauStochastic2017"/>
    <w:p>
      <w:pPr>
        <w:pStyle w:val="Bibliography"/>
      </w:pPr>
      <w:r>
        <w:t xml:space="preserve">Duneau, David, Jean-Baptiste Ferdy, Jonathan Revah, Hannah Kondolf, Gerardo A Ortiz, Brian P Lazzaro, and Nicolas Buchon. 2017.</w:t>
      </w:r>
      <w:r>
        <w:t xml:space="preserve"> </w:t>
      </w:r>
      <w:r>
        <w:t xml:space="preserve">“Stochastic Variation in the Initial Phase of Bacterial Infection Predicts the Probability of Survival in</w:t>
      </w:r>
      <w:r>
        <w:t xml:space="preserve"> </w:t>
      </w:r>
      <w:r>
        <w:rPr>
          <w:i/>
          <w:iCs/>
        </w:rPr>
        <w:t xml:space="preserve">D. Melanogaster</w:t>
      </w:r>
      <w:r>
        <w:t xml:space="preserve">.”</w:t>
      </w:r>
      <w:r>
        <w:t xml:space="preserve"> </w:t>
      </w:r>
      <w:r>
        <w:t xml:space="preserve">Edited by Bruno Lemaître.</w:t>
      </w:r>
      <w:r>
        <w:t xml:space="preserve"> </w:t>
      </w:r>
      <w:r>
        <w:rPr>
          <w:i/>
          <w:iCs/>
        </w:rPr>
        <w:t xml:space="preserve">eLife</w:t>
      </w:r>
      <w:r>
        <w:t xml:space="preserve"> </w:t>
      </w:r>
      <w:r>
        <w:t xml:space="preserve">6 (October): e28298.</w:t>
      </w:r>
      <w:r>
        <w:t xml:space="preserve"> </w:t>
      </w:r>
      <w:hyperlink r:id="rId49">
        <w:r>
          <w:rPr>
            <w:rStyle w:val="Hyperlink"/>
          </w:rPr>
          <w:t xml:space="preserve">https://doi.org/10.7554/eLife.28298</w:t>
        </w:r>
      </w:hyperlink>
      <w:r>
        <w:t xml:space="preserve">.</w:t>
      </w:r>
    </w:p>
    <w:bookmarkEnd w:id="50"/>
    <w:bookmarkEnd w:id="51"/>
    <w:p>
      <w:r>
        <w:pict>
          <v:rect style="width:0;height:1.5pt" o:hralign="center" o:hrstd="t" o:hr="t"/>
        </w:pict>
      </w:r>
    </w:p>
    <w:p>
      <w:pPr>
        <w:pStyle w:val="FirstParagraph"/>
      </w:pPr>
      <w:r>
        <w:t xml:space="preserve">Last updated: 2025-10-19 17:55:59.232552</w:t>
      </w:r>
    </w:p>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b/>
      <w:color w:val="204a87"/>
      <w:shd w:val="clear" w:fill="f8f8f8"/>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b/>
      <w:color w:val="ce5c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i/>
      <w:color w:val="8f5902"/>
      <w:shd w:val="clear" w:fill="f8f8f8"/>
    </w:rPr>
  </w:style>
  <w:style w:type="character" w:customStyle="1" w:styleId="DocumentationTok">
    <w:name w:val="DocumentationTok"/>
    <w:basedOn w:val="VerbatimChar"/>
    <w:rPr>
      <w:b/>
      <w:i/>
      <w:color w:val="8f5902"/>
      <w:shd w:val="clear" w:fill="f8f8f8"/>
    </w:rPr>
  </w:style>
  <w:style w:type="character" w:customStyle="1" w:styleId="AnnotationTok">
    <w:name w:val="AnnotationTok"/>
    <w:basedOn w:val="VerbatimChar"/>
    <w:rPr>
      <w:b/>
      <w:i/>
      <w:color w:val="8f5902"/>
      <w:shd w:val="clear" w:fill="f8f8f8"/>
    </w:rPr>
  </w:style>
  <w:style w:type="character" w:customStyle="1" w:styleId="CommentVarTok">
    <w:name w:val="CommentVarTok"/>
    <w:basedOn w:val="VerbatimChar"/>
    <w:rPr>
      <w:b/>
      <w:i/>
      <w:color w:val="8f5902"/>
      <w:shd w:val="clear" w:fill="f8f8f8"/>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b/>
      <w:color w:val="204a87"/>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b/>
      <w:color w:val="204a87"/>
      <w:shd w:val="clear" w:fill="f8f8f8"/>
    </w:rPr>
  </w:style>
  <w:style w:type="character" w:customStyle="1" w:styleId="OperatorTok">
    <w:name w:val="OperatorTok"/>
    <w:basedOn w:val="VerbatimChar"/>
    <w:rPr>
      <w:b/>
      <w:color w:val="ce5c00"/>
      <w:shd w:val="clear" w:fill="f8f8f8"/>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i/>
      <w:color w:val="8f5902"/>
      <w:shd w:val="clear" w:fill="f8f8f8"/>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b/>
      <w:i/>
      <w:color w:val="8f5902"/>
      <w:shd w:val="clear" w:fill="f8f8f8"/>
    </w:rPr>
  </w:style>
  <w:style w:type="character" w:customStyle="1" w:styleId="WarningTok">
    <w:name w:val="WarningTok"/>
    <w:basedOn w:val="VerbatimChar"/>
    <w:rPr>
      <w:b/>
      <w:i/>
      <w:color w:val="8f5902"/>
      <w:shd w:val="clear" w:fill="f8f8f8"/>
    </w:rPr>
  </w:style>
  <w:style w:type="character" w:customStyle="1" w:styleId="AlertTok">
    <w:name w:val="AlertTok"/>
    <w:basedOn w:val="VerbatimChar"/>
    <w:rPr>
      <w:color w:val="ef2929"/>
      <w:shd w:val="clear" w:fill="f8f8f8"/>
    </w:rPr>
  </w:style>
  <w:style w:type="character" w:customStyle="1" w:styleId="ErrorTok">
    <w:name w:val="ErrorTok"/>
    <w:basedOn w:val="VerbatimChar"/>
    <w:rPr>
      <w:b/>
      <w:color w:val="a40000"/>
      <w:shd w:val="clear" w:fill="f8f8f8"/>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1" Target="media/rId41.jpg" /><Relationship Type="http://schemas.openxmlformats.org/officeDocument/2006/relationships/hyperlink" Id="rId45" Target="http://www.ncbi.nlm.nih.gov/pmc/articles/PMC191463/" TargetMode="External" /><Relationship Type="http://schemas.openxmlformats.org/officeDocument/2006/relationships/hyperlink" Id="rId47" Target="https://doi.org/10.1371/journal.pbio.0040349" TargetMode="External" /><Relationship Type="http://schemas.openxmlformats.org/officeDocument/2006/relationships/hyperlink" Id="rId49" Target="https://doi.org/10.7554/eLife.28298" TargetMode="External" /></Relationships>
</file>

<file path=word/_rels/footnotes.xml.rels><?xml version="1.0" encoding="UTF-8"?><Relationships xmlns="http://schemas.openxmlformats.org/package/2006/relationships"><Relationship Type="http://schemas.openxmlformats.org/officeDocument/2006/relationships/hyperlink" Id="rId45" Target="http://www.ncbi.nlm.nih.gov/pmc/articles/PMC191463/" TargetMode="External" /><Relationship Type="http://schemas.openxmlformats.org/officeDocument/2006/relationships/hyperlink" Id="rId47" Target="https://doi.org/10.1371/journal.pbio.0040349" TargetMode="External" /><Relationship Type="http://schemas.openxmlformats.org/officeDocument/2006/relationships/hyperlink" Id="rId49" Target="https://doi.org/10.7554/eLife.2829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Within-host dynamics</dc:title>
  <dc:creator/>
  <cp:keywords/>
  <dcterms:created xsi:type="dcterms:W3CDTF">2025-10-19T21:55:59Z</dcterms:created>
  <dcterms:modified xsi:type="dcterms:W3CDTF">2025-10-19T21:55:59Z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../eeid.bib</vt:lpwstr>
  </property>
</Properties>
</file>